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A41757" w:rsidP="00C43620">
      <w:r>
        <w:t>Course code: EL</w:t>
      </w:r>
      <w:r w:rsidR="003B74C8">
        <w:t>-22</w:t>
      </w:r>
      <w:r>
        <w:t>0</w:t>
      </w:r>
      <w:r w:rsidR="006D51CD">
        <w:tab/>
      </w:r>
      <w:r w:rsidR="006D51CD">
        <w:tab/>
      </w:r>
      <w:r w:rsidR="006D51CD">
        <w:tab/>
      </w:r>
      <w:r w:rsidR="006D51CD">
        <w:tab/>
      </w:r>
      <w:r w:rsidR="003B74C8">
        <w:tab/>
      </w:r>
      <w:r w:rsidR="003B74C8">
        <w:tab/>
      </w:r>
      <w:r w:rsidR="006D51CD">
        <w:t>Course T</w:t>
      </w:r>
      <w:r w:rsidR="003B74C8">
        <w:t>itle: Digital Logic Design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1122B9" w:rsidRPr="00B70611" w:rsidRDefault="00B70611" w:rsidP="00B7061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Hassan Tariq</w:t>
            </w:r>
            <w:r w:rsidR="003B74C8">
              <w:rPr>
                <w:rFonts w:asciiTheme="minorHAnsi" w:hAnsiTheme="minorHAnsi"/>
                <w:bCs/>
                <w:vertAlign w:val="superscript"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(Section: All</w:t>
            </w:r>
            <w:r w:rsidR="003B74C8">
              <w:rPr>
                <w:rFonts w:asciiTheme="minorHAnsi" w:hAnsiTheme="minorHAnsi"/>
                <w:bCs/>
              </w:rPr>
              <w:t>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1122B9" w:rsidRDefault="001122B9" w:rsidP="00C43620"/>
          <w:p w:rsidR="001122B9" w:rsidRDefault="001122B9" w:rsidP="00C43620">
            <w:r>
              <w:t>EE Labs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p w:rsidR="003B74C8" w:rsidRPr="001103C3" w:rsidRDefault="00261F9C" w:rsidP="00C43620">
            <w:pPr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hassantariq</w:t>
            </w:r>
            <w:r w:rsidR="003B74C8" w:rsidRPr="001103C3">
              <w:rPr>
                <w:color w:val="000000" w:themeColor="text1"/>
              </w:rPr>
              <w:t>@umt.edu.pk</w:t>
            </w:r>
            <w:r w:rsidR="00E156BB" w:rsidRPr="001103C3">
              <w:rPr>
                <w:color w:val="000000" w:themeColor="text1"/>
                <w:vertAlign w:val="superscript"/>
              </w:rPr>
              <w:t>1</w:t>
            </w:r>
          </w:p>
          <w:p w:rsidR="001122B9" w:rsidRPr="001103C3" w:rsidRDefault="001122B9" w:rsidP="00C43620">
            <w:pPr>
              <w:rPr>
                <w:color w:val="000000" w:themeColor="text1"/>
                <w:vertAlign w:val="superscript"/>
              </w:rPr>
            </w:pPr>
          </w:p>
          <w:p w:rsidR="001122B9" w:rsidRDefault="00AC79BF" w:rsidP="00AC79BF">
            <w:pPr>
              <w:tabs>
                <w:tab w:val="left" w:pos="960"/>
              </w:tabs>
            </w:pPr>
            <w:r>
              <w:tab/>
            </w:r>
          </w:p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935B5F" w:rsidRDefault="00935B5F" w:rsidP="00634E1A">
      <w:pPr>
        <w:rPr>
          <w:color w:val="000000"/>
          <w:spacing w:val="1"/>
        </w:rPr>
      </w:pPr>
      <w:r>
        <w:rPr>
          <w:rFonts w:asciiTheme="minorHAnsi" w:hAnsiTheme="minorHAnsi"/>
          <w:bCs/>
        </w:rPr>
        <w:t xml:space="preserve">The objective of this lab is to introduce students with basic digital logic design concepts and to implement them as well. The </w:t>
      </w:r>
      <w:r w:rsidRPr="008B0103">
        <w:rPr>
          <w:rFonts w:asciiTheme="minorHAnsi" w:hAnsiTheme="minorHAnsi"/>
          <w:bCs/>
        </w:rPr>
        <w:t>topics covered include numbers systems, codes, Boolean algebra, combinational logic, arithmetic, MSI logic circuits, latches/flip flops, counters/registers, sequential circuit design, memory devices and digital electronics.</w:t>
      </w:r>
      <w:r w:rsidRPr="008B0103">
        <w:rPr>
          <w:rFonts w:asciiTheme="minorHAnsi" w:hAnsiTheme="minorHAnsi"/>
          <w:color w:val="000000"/>
        </w:rPr>
        <w:t xml:space="preserve"> These </w:t>
      </w:r>
      <w:r w:rsidRPr="008B0103">
        <w:rPr>
          <w:rFonts w:asciiTheme="minorHAnsi" w:hAnsiTheme="minorHAnsi"/>
          <w:b/>
          <w:color w:val="000000"/>
          <w:u w:val="single"/>
        </w:rPr>
        <w:t>objectives</w:t>
      </w:r>
      <w:r w:rsidRPr="008B0103">
        <w:rPr>
          <w:rFonts w:asciiTheme="minorHAnsi" w:hAnsiTheme="minorHAnsi"/>
          <w:color w:val="000000"/>
        </w:rPr>
        <w:t xml:space="preserve"> conform to the ones listed in HEC guidelines as a, d, e, &amp; f.</w:t>
      </w:r>
    </w:p>
    <w:p w:rsidR="00935B5F" w:rsidRPr="008B0103" w:rsidRDefault="00935B5F" w:rsidP="00935B5F">
      <w:pPr>
        <w:rPr>
          <w:rFonts w:asciiTheme="minorHAnsi" w:hAnsiTheme="minorHAnsi"/>
        </w:rPr>
      </w:pPr>
      <w:r w:rsidRPr="008B0103">
        <w:rPr>
          <w:rFonts w:asciiTheme="minorHAnsi" w:hAnsiTheme="minorHAnsi"/>
        </w:rPr>
        <w:t xml:space="preserve">In accordance with HEC curriculum </w:t>
      </w:r>
      <w:r w:rsidRPr="008B0103">
        <w:rPr>
          <w:rFonts w:asciiTheme="minorHAnsi" w:hAnsiTheme="minorHAnsi"/>
          <w:b/>
          <w:u w:val="single"/>
        </w:rPr>
        <w:t>outcomes</w:t>
      </w:r>
      <w:r w:rsidRPr="008B0103">
        <w:rPr>
          <w:rFonts w:asciiTheme="minorHAnsi" w:hAnsiTheme="minorHAnsi"/>
        </w:rPr>
        <w:t xml:space="preserve"> a, b, d, e, g, h &amp; i, students at the end of the course should be able to</w:t>
      </w:r>
    </w:p>
    <w:p w:rsidR="00935B5F" w:rsidRPr="008B0103" w:rsidRDefault="00935B5F" w:rsidP="00935B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8B0103">
        <w:rPr>
          <w:rFonts w:asciiTheme="minorHAnsi" w:hAnsiTheme="minorHAnsi"/>
        </w:rPr>
        <w:t>To practica</w:t>
      </w:r>
      <w:r w:rsidR="001330BD">
        <w:rPr>
          <w:rFonts w:asciiTheme="minorHAnsi" w:hAnsiTheme="minorHAnsi"/>
        </w:rPr>
        <w:t xml:space="preserve">lly knows and perform the DLD  </w:t>
      </w:r>
      <w:r w:rsidRPr="008B0103">
        <w:rPr>
          <w:rFonts w:asciiTheme="minorHAnsi" w:hAnsiTheme="minorHAnsi"/>
        </w:rPr>
        <w:t>concepts</w:t>
      </w:r>
    </w:p>
    <w:p w:rsidR="00935B5F" w:rsidRPr="008B0103" w:rsidRDefault="00935B5F" w:rsidP="00935B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8B0103">
        <w:rPr>
          <w:rFonts w:asciiTheme="minorHAnsi" w:hAnsiTheme="minorHAnsi"/>
        </w:rPr>
        <w:t>To have thorough understanding of digital logic design principles</w:t>
      </w:r>
    </w:p>
    <w:p w:rsidR="00935B5F" w:rsidRPr="008B0103" w:rsidRDefault="00935B5F" w:rsidP="00935B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8B0103">
        <w:rPr>
          <w:rFonts w:asciiTheme="minorHAnsi" w:hAnsiTheme="minorHAnsi"/>
        </w:rPr>
        <w:t xml:space="preserve">To have basic problem solving and troubleshooting techniques </w:t>
      </w:r>
    </w:p>
    <w:p w:rsidR="00935B5F" w:rsidRDefault="00935B5F" w:rsidP="00C43620">
      <w:pPr>
        <w:rPr>
          <w:b/>
          <w:sz w:val="28"/>
          <w:szCs w:val="28"/>
          <w:u w:val="single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Pr="00634E1A" w:rsidRDefault="00935B5F" w:rsidP="002B77B1">
      <w:pPr>
        <w:rPr>
          <w:sz w:val="28"/>
          <w:szCs w:val="28"/>
        </w:rPr>
      </w:pPr>
      <w:r>
        <w:rPr>
          <w:sz w:val="28"/>
          <w:szCs w:val="28"/>
        </w:rPr>
        <w:t xml:space="preserve">Practicals, </w:t>
      </w:r>
      <w:r w:rsidR="002B77B1" w:rsidRPr="00634E1A">
        <w:rPr>
          <w:sz w:val="28"/>
          <w:szCs w:val="28"/>
        </w:rPr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935B5F">
        <w:rPr>
          <w:sz w:val="28"/>
          <w:szCs w:val="28"/>
        </w:rPr>
        <w:tab/>
      </w:r>
      <w:r w:rsidR="00935B5F">
        <w:rPr>
          <w:sz w:val="28"/>
          <w:szCs w:val="28"/>
        </w:rPr>
        <w:tab/>
      </w:r>
      <w:r w:rsidR="00935B5F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1F09C5" w:rsidRPr="00A16EE8" w:rsidRDefault="001F09C5" w:rsidP="001F09C5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1F09C5" w:rsidRPr="009438FC" w:rsidRDefault="001F09C5" w:rsidP="001F09C5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>
        <w:rPr>
          <w:spacing w:val="1"/>
        </w:rPr>
        <w:t xml:space="preserve">Digital </w:t>
      </w:r>
      <w:r w:rsidRPr="00040EE0">
        <w:rPr>
          <w:spacing w:val="1"/>
        </w:rPr>
        <w:t>Design,</w:t>
      </w:r>
      <m:oMath>
        <m:sSup>
          <m:sSupPr>
            <m:ctrlPr>
              <w:rPr>
                <w:rFonts w:ascii="Cambria Math" w:hAnsi="Cambria Math"/>
                <w:spacing w:val="1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pacing w:val="1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1"/>
              </w:rPr>
              <m:t>th</m:t>
            </m:r>
          </m:sup>
        </m:sSup>
      </m:oMath>
      <w:r w:rsidRPr="00040EE0">
        <w:rPr>
          <w:spacing w:val="1"/>
        </w:rPr>
        <w:t xml:space="preserve"> Edition by Morris Mano</w:t>
      </w:r>
      <w:r>
        <w:rPr>
          <w:spacing w:val="1"/>
        </w:rPr>
        <w:t xml:space="preserve"> and Michael D. Ciletti</w:t>
      </w:r>
    </w:p>
    <w:p w:rsidR="001F09C5" w:rsidRDefault="001F09C5" w:rsidP="001F09C5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Book:</w:t>
      </w:r>
    </w:p>
    <w:p w:rsidR="001F09C5" w:rsidRPr="006D6F79" w:rsidRDefault="001F09C5" w:rsidP="001F09C5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spacing w:val="1"/>
        </w:rPr>
      </w:pPr>
      <w:r w:rsidRPr="006D6F79">
        <w:rPr>
          <w:spacing w:val="1"/>
        </w:rPr>
        <w:t xml:space="preserve">Digital Design, Principles &amp; Practices, </w:t>
      </w:r>
      <m:oMath>
        <m:sSup>
          <m:sSupPr>
            <m:ctrlPr>
              <w:rPr>
                <w:rFonts w:ascii="Cambria Math" w:hAnsi="Cambria Math"/>
                <w:spacing w:val="1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pacing w:val="1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1"/>
              </w:rPr>
              <m:t>rd</m:t>
            </m:r>
          </m:sup>
        </m:sSup>
      </m:oMath>
      <w:r w:rsidRPr="006D6F79">
        <w:rPr>
          <w:spacing w:val="1"/>
        </w:rPr>
        <w:t xml:space="preserve"> Edition</w:t>
      </w:r>
      <w:r>
        <w:rPr>
          <w:spacing w:val="1"/>
        </w:rPr>
        <w:t xml:space="preserve"> by</w:t>
      </w:r>
      <w:r w:rsidRPr="006D6F79">
        <w:rPr>
          <w:spacing w:val="1"/>
        </w:rPr>
        <w:t xml:space="preserve"> John F. Wakerly</w:t>
      </w:r>
    </w:p>
    <w:p w:rsidR="001F09C5" w:rsidRDefault="001F09C5" w:rsidP="001F09C5"/>
    <w:p w:rsidR="009450C6" w:rsidRDefault="009450C6" w:rsidP="00634E1A">
      <w:pPr>
        <w:rPr>
          <w:bCs/>
          <w:color w:val="000000"/>
          <w:spacing w:val="1"/>
        </w:rPr>
      </w:pPr>
    </w:p>
    <w:p w:rsidR="001F09C5" w:rsidRDefault="001F09C5" w:rsidP="00634E1A">
      <w:pPr>
        <w:rPr>
          <w:bCs/>
          <w:color w:val="000000"/>
          <w:spacing w:val="1"/>
        </w:rPr>
      </w:pPr>
    </w:p>
    <w:p w:rsidR="001F09C5" w:rsidRDefault="001F09C5" w:rsidP="00634E1A">
      <w:pPr>
        <w:rPr>
          <w:bCs/>
          <w:color w:val="000000"/>
          <w:spacing w:val="1"/>
        </w:rPr>
      </w:pPr>
    </w:p>
    <w:p w:rsidR="009450C6" w:rsidRDefault="009450C6" w:rsidP="00634E1A"/>
    <w:p w:rsidR="00A84A9F" w:rsidRPr="005D3F63" w:rsidRDefault="00A84A9F" w:rsidP="00A84A9F">
      <w:pPr>
        <w:spacing w:line="480" w:lineRule="auto"/>
        <w:ind w:left="720"/>
        <w:rPr>
          <w:b/>
          <w:u w:val="single"/>
        </w:rPr>
      </w:pPr>
      <w:r w:rsidRPr="005D3F63">
        <w:rPr>
          <w:b/>
          <w:u w:val="single"/>
        </w:rPr>
        <w:lastRenderedPageBreak/>
        <w:t xml:space="preserve">Calendar of Course contents to be covered during semester  </w:t>
      </w:r>
    </w:p>
    <w:p w:rsidR="002B77B1" w:rsidRPr="005D3F63" w:rsidRDefault="00553EF2" w:rsidP="002B77B1">
      <w:r>
        <w:t>Course code: EL-220</w:t>
      </w:r>
      <w:r w:rsidR="002B77B1" w:rsidRPr="005D3F63">
        <w:tab/>
      </w:r>
      <w:r w:rsidR="002B77B1" w:rsidRPr="005D3F63">
        <w:tab/>
      </w:r>
      <w:r w:rsidR="002B77B1" w:rsidRPr="005D3F63">
        <w:tab/>
      </w:r>
      <w:r w:rsidR="002B77B1" w:rsidRPr="005D3F63">
        <w:tab/>
      </w:r>
      <w:r w:rsidR="00E94B9D" w:rsidRPr="005D3F63">
        <w:tab/>
      </w:r>
      <w:r w:rsidR="00E94B9D" w:rsidRPr="005D3F63">
        <w:tab/>
      </w:r>
      <w:r w:rsidR="002B77B1" w:rsidRPr="005D3F63">
        <w:t>Course</w:t>
      </w:r>
      <w:r w:rsidR="00E94B9D" w:rsidRPr="005D3F63">
        <w:t xml:space="preserve"> title: Digital Logic Design Lab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3"/>
        <w:gridCol w:w="6675"/>
        <w:gridCol w:w="1908"/>
      </w:tblGrid>
      <w:tr w:rsidR="00CA405D" w:rsidRPr="005D3F63" w:rsidTr="005D3F63">
        <w:trPr>
          <w:trHeight w:val="942"/>
        </w:trPr>
        <w:tc>
          <w:tcPr>
            <w:tcW w:w="993" w:type="dxa"/>
          </w:tcPr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</w:p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  <w:r w:rsidRPr="005D3F63">
              <w:rPr>
                <w:b/>
              </w:rPr>
              <w:t>Week</w:t>
            </w:r>
          </w:p>
        </w:tc>
        <w:tc>
          <w:tcPr>
            <w:tcW w:w="6675" w:type="dxa"/>
          </w:tcPr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</w:p>
          <w:p w:rsidR="00CA405D" w:rsidRPr="005D3F63" w:rsidRDefault="00CA405D" w:rsidP="00684982">
            <w:pPr>
              <w:rPr>
                <w:b/>
              </w:rPr>
            </w:pPr>
            <w:r w:rsidRPr="005D3F63">
              <w:rPr>
                <w:b/>
              </w:rPr>
              <w:t>Course Contents</w:t>
            </w:r>
          </w:p>
          <w:p w:rsidR="00CA405D" w:rsidRPr="005D3F63" w:rsidRDefault="00CA405D" w:rsidP="00684982">
            <w:pPr>
              <w:tabs>
                <w:tab w:val="left" w:pos="1065"/>
              </w:tabs>
              <w:rPr>
                <w:b/>
              </w:rPr>
            </w:pPr>
          </w:p>
        </w:tc>
        <w:tc>
          <w:tcPr>
            <w:tcW w:w="1908" w:type="dxa"/>
          </w:tcPr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  <w:r w:rsidRPr="005D3F63">
              <w:rPr>
                <w:b/>
                <w:color w:val="FF0000"/>
              </w:rPr>
              <w:t>Relevance to Theory Course</w:t>
            </w:r>
          </w:p>
        </w:tc>
      </w:tr>
      <w:tr w:rsidR="005D3F63" w:rsidRPr="005D3F63" w:rsidTr="00CA405D">
        <w:trPr>
          <w:trHeight w:val="825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Verification of basic binary operators and basic theorems using gates</w:t>
            </w:r>
          </w:p>
        </w:tc>
        <w:tc>
          <w:tcPr>
            <w:tcW w:w="1908" w:type="dxa"/>
          </w:tcPr>
          <w:p w:rsidR="005D3F63" w:rsidRPr="005D3F63" w:rsidRDefault="00962CD9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="005D3F63" w:rsidRPr="005D3F63">
              <w:rPr>
                <w:rFonts w:asciiTheme="majorBidi" w:hAnsiTheme="majorBidi"/>
              </w:rPr>
              <w:t>Article</w:t>
            </w:r>
            <w:bookmarkStart w:id="0" w:name="_GoBack"/>
            <w:bookmarkEnd w:id="0"/>
            <w:r w:rsidR="005D3F63" w:rsidRPr="005D3F63">
              <w:rPr>
                <w:rFonts w:asciiTheme="majorBidi" w:hAnsiTheme="majorBidi"/>
              </w:rPr>
              <w:t xml:space="preserve"> 2.2</w:t>
            </w:r>
            <w:r w:rsidR="00834EE3">
              <w:rPr>
                <w:rFonts w:asciiTheme="majorBidi" w:hAnsiTheme="majorBidi"/>
              </w:rPr>
              <w:t xml:space="preserve"> – 2.8</w:t>
            </w:r>
          </w:p>
        </w:tc>
      </w:tr>
      <w:tr w:rsidR="005D3F63" w:rsidRPr="005D3F63" w:rsidTr="00CA405D">
        <w:trPr>
          <w:trHeight w:val="87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2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Universality of NAND and NOR gates</w:t>
            </w:r>
          </w:p>
        </w:tc>
        <w:tc>
          <w:tcPr>
            <w:tcW w:w="1908" w:type="dxa"/>
          </w:tcPr>
          <w:p w:rsidR="005D3F63" w:rsidRPr="005D3F63" w:rsidRDefault="00962CD9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3.7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3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Full Adder and 4-bit  Parallel Adder using IC 7483</w:t>
            </w:r>
          </w:p>
        </w:tc>
        <w:tc>
          <w:tcPr>
            <w:tcW w:w="1908" w:type="dxa"/>
          </w:tcPr>
          <w:p w:rsidR="005D3F63" w:rsidRPr="005D3F63" w:rsidRDefault="00962CD9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 w:rsidR="00ED3285">
              <w:rPr>
                <w:rFonts w:asciiTheme="majorBidi" w:hAnsiTheme="majorBidi"/>
              </w:rPr>
              <w:t xml:space="preserve"> 4.5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4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Full Subtractor and 4-bit Parallel Subtractor using IC 7483</w:t>
            </w:r>
          </w:p>
        </w:tc>
        <w:tc>
          <w:tcPr>
            <w:tcW w:w="1908" w:type="dxa"/>
          </w:tcPr>
          <w:p w:rsidR="005D3F63" w:rsidRPr="005D3F63" w:rsidRDefault="00ED3285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4.5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5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Design of combinational circuits</w:t>
            </w:r>
          </w:p>
        </w:tc>
        <w:tc>
          <w:tcPr>
            <w:tcW w:w="1908" w:type="dxa"/>
          </w:tcPr>
          <w:p w:rsidR="005D3F63" w:rsidRPr="005D3F63" w:rsidRDefault="008021C5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4.2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741DA1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6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 xml:space="preserve">Implementation of code converters using gates </w:t>
            </w:r>
          </w:p>
        </w:tc>
        <w:tc>
          <w:tcPr>
            <w:tcW w:w="1908" w:type="dxa"/>
          </w:tcPr>
          <w:p w:rsidR="005D3F63" w:rsidRPr="005D3F63" w:rsidRDefault="00047602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4.4, 4.6</w:t>
            </w:r>
          </w:p>
        </w:tc>
      </w:tr>
      <w:tr w:rsidR="005D3F63" w:rsidRPr="005D3F63" w:rsidTr="00CA405D">
        <w:trPr>
          <w:trHeight w:val="870"/>
        </w:trPr>
        <w:tc>
          <w:tcPr>
            <w:tcW w:w="993" w:type="dxa"/>
            <w:vAlign w:val="bottom"/>
          </w:tcPr>
          <w:p w:rsidR="005D3F63" w:rsidRPr="005D3F63" w:rsidRDefault="005D3F63" w:rsidP="00741DA1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7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jc w:val="both"/>
              <w:rPr>
                <w:rFonts w:ascii="Calibri" w:hAnsi="Calibri"/>
                <w:highlight w:val="yellow"/>
              </w:rPr>
            </w:pPr>
            <w:r w:rsidRPr="005D3F63">
              <w:rPr>
                <w:rFonts w:ascii="Calibri" w:hAnsi="Calibri"/>
              </w:rPr>
              <w:t xml:space="preserve">Implementation of Encoder and Decoder using IC </w:t>
            </w:r>
            <w:r w:rsidRPr="005D3F63">
              <w:t>74138 &amp; 74148</w:t>
            </w:r>
          </w:p>
        </w:tc>
        <w:tc>
          <w:tcPr>
            <w:tcW w:w="1908" w:type="dxa"/>
          </w:tcPr>
          <w:p w:rsidR="005D3F63" w:rsidRPr="005D3F63" w:rsidRDefault="005E49C1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4.9 – 4.10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</w:p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8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</w:pPr>
            <w:r w:rsidRPr="005D3F63">
              <w:rPr>
                <w:rFonts w:ascii="Calibri" w:hAnsi="Calibri"/>
              </w:rPr>
              <w:t xml:space="preserve">Implementation of Multiplexer and Demultiplexer </w:t>
            </w:r>
            <w:r w:rsidRPr="005D3F63">
              <w:t>IC74151&amp;74138</w:t>
            </w:r>
          </w:p>
        </w:tc>
        <w:tc>
          <w:tcPr>
            <w:tcW w:w="1908" w:type="dxa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</w:p>
          <w:p w:rsidR="005D3F63" w:rsidRPr="005D3F63" w:rsidRDefault="005E49C1" w:rsidP="00F6479D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4.11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9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Verification of LATCH and FLIP FLOP operation using gates and flip flop’s IC</w:t>
            </w:r>
          </w:p>
        </w:tc>
        <w:tc>
          <w:tcPr>
            <w:tcW w:w="1908" w:type="dxa"/>
          </w:tcPr>
          <w:p w:rsidR="005D3F63" w:rsidRPr="005D3F63" w:rsidRDefault="00546CFC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5.3 -5.4</w:t>
            </w:r>
          </w:p>
        </w:tc>
      </w:tr>
      <w:tr w:rsidR="005D3F63" w:rsidRPr="005D3F63" w:rsidTr="00CA405D">
        <w:trPr>
          <w:trHeight w:val="60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10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Design of Sequential Circuits</w:t>
            </w:r>
          </w:p>
        </w:tc>
        <w:tc>
          <w:tcPr>
            <w:tcW w:w="1908" w:type="dxa"/>
          </w:tcPr>
          <w:p w:rsidR="005D3F63" w:rsidRPr="005D3F63" w:rsidRDefault="009F2352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5.8</w:t>
            </w:r>
          </w:p>
        </w:tc>
      </w:tr>
      <w:tr w:rsidR="005D3F63" w:rsidRPr="005D3F63" w:rsidTr="00CA405D">
        <w:trPr>
          <w:trHeight w:val="825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11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series and parallel registers</w:t>
            </w:r>
          </w:p>
        </w:tc>
        <w:tc>
          <w:tcPr>
            <w:tcW w:w="1908" w:type="dxa"/>
          </w:tcPr>
          <w:p w:rsidR="005D3F63" w:rsidRPr="005D3F63" w:rsidRDefault="00A062FA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</w:t>
            </w:r>
            <w:r w:rsidR="00353D9C">
              <w:rPr>
                <w:rFonts w:asciiTheme="majorBidi" w:hAnsiTheme="majorBidi"/>
              </w:rPr>
              <w:t>6.1</w:t>
            </w:r>
            <w:r>
              <w:rPr>
                <w:rFonts w:asciiTheme="majorBidi" w:hAnsiTheme="majorBidi"/>
              </w:rPr>
              <w:t xml:space="preserve"> – 6.</w:t>
            </w:r>
            <w:r w:rsidR="00353D9C">
              <w:rPr>
                <w:rFonts w:asciiTheme="majorBidi" w:hAnsiTheme="majorBidi"/>
              </w:rPr>
              <w:t>2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12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asynchronous and synchronous counters</w:t>
            </w:r>
          </w:p>
        </w:tc>
        <w:tc>
          <w:tcPr>
            <w:tcW w:w="1908" w:type="dxa"/>
          </w:tcPr>
          <w:p w:rsidR="005D3F63" w:rsidRPr="005D3F63" w:rsidRDefault="00353D9C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6.3 – 6.4</w:t>
            </w:r>
          </w:p>
        </w:tc>
      </w:tr>
      <w:tr w:rsidR="005D3F63" w:rsidRPr="005D3F63" w:rsidTr="00CA405D">
        <w:trPr>
          <w:trHeight w:val="96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13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RAM and ROM using gates and Static RAM IC</w:t>
            </w:r>
          </w:p>
        </w:tc>
        <w:tc>
          <w:tcPr>
            <w:tcW w:w="1908" w:type="dxa"/>
          </w:tcPr>
          <w:p w:rsidR="005D3F63" w:rsidRPr="005D3F63" w:rsidRDefault="00D1722E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7.2</w:t>
            </w:r>
          </w:p>
        </w:tc>
      </w:tr>
      <w:tr w:rsidR="005D3F63" w:rsidRPr="005D3F63" w:rsidTr="00CA405D">
        <w:trPr>
          <w:trHeight w:val="96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lastRenderedPageBreak/>
              <w:t>14</w:t>
            </w:r>
          </w:p>
        </w:tc>
        <w:tc>
          <w:tcPr>
            <w:tcW w:w="6675" w:type="dxa"/>
            <w:vAlign w:val="center"/>
          </w:tcPr>
          <w:p w:rsidR="005D3F63" w:rsidRPr="00413859" w:rsidRDefault="005D3F63" w:rsidP="00CC69EB">
            <w:pPr>
              <w:spacing w:before="25"/>
              <w:ind w:right="199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n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r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od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>u</w:t>
            </w:r>
            <w:r w:rsidRPr="00413859">
              <w:rPr>
                <w:rFonts w:asciiTheme="minorHAnsi" w:eastAsia="Verdana" w:hAnsiTheme="minorHAnsi" w:cstheme="minorHAnsi"/>
                <w:spacing w:val="-7"/>
              </w:rPr>
              <w:t>c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</w:rPr>
              <w:t xml:space="preserve">n 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</w:rPr>
              <w:t>o</w:t>
            </w:r>
            <w:r>
              <w:rPr>
                <w:rFonts w:asciiTheme="minorHAnsi" w:eastAsia="Verdana" w:hAnsiTheme="minorHAnsi" w:cstheme="minorHAnsi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b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a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s</w:t>
            </w:r>
            <w:r w:rsidRPr="00413859">
              <w:rPr>
                <w:rFonts w:asciiTheme="minorHAnsi" w:eastAsia="Verdana" w:hAnsiTheme="minorHAnsi" w:cstheme="minorHAnsi"/>
              </w:rPr>
              <w:t xml:space="preserve">ic </w:t>
            </w:r>
            <w:r w:rsidRPr="00413859">
              <w:rPr>
                <w:rFonts w:asciiTheme="minorHAnsi" w:eastAsia="Verdana" w:hAnsiTheme="minorHAnsi" w:cstheme="minorHAnsi"/>
                <w:spacing w:val="25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s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y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a</w:t>
            </w:r>
            <w:r w:rsidRPr="00413859">
              <w:rPr>
                <w:rFonts w:asciiTheme="minorHAnsi" w:eastAsia="Verdana" w:hAnsiTheme="minorHAnsi" w:cstheme="minorHAnsi"/>
              </w:rPr>
              <w:t xml:space="preserve">x </w:t>
            </w:r>
            <w:r w:rsidRPr="00413859">
              <w:rPr>
                <w:rFonts w:asciiTheme="minorHAnsi" w:eastAsia="Verdana" w:hAnsiTheme="minorHAnsi" w:cstheme="minorHAnsi"/>
                <w:spacing w:val="22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o</w:t>
            </w:r>
            <w:r w:rsidRPr="00413859">
              <w:rPr>
                <w:rFonts w:asciiTheme="minorHAnsi" w:eastAsia="Verdana" w:hAnsiTheme="minorHAnsi" w:cstheme="minorHAnsi"/>
              </w:rPr>
              <w:t>f v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er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</w:rPr>
              <w:t xml:space="preserve">g 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a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 xml:space="preserve">d </w:t>
            </w:r>
            <w:r w:rsidRPr="00413859">
              <w:rPr>
                <w:rFonts w:asciiTheme="minorHAnsi" w:eastAsia="Verdana" w:hAnsiTheme="minorHAnsi" w:cstheme="minorHAnsi"/>
                <w:spacing w:val="27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g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a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3"/>
              </w:rPr>
              <w:t>e</w:t>
            </w:r>
            <w:r w:rsidRPr="00413859">
              <w:rPr>
                <w:rFonts w:asciiTheme="minorHAnsi" w:eastAsia="Verdana" w:hAnsiTheme="minorHAnsi" w:cstheme="minorHAnsi"/>
                <w:spacing w:val="-6"/>
                <w:w w:val="101"/>
              </w:rPr>
              <w:t>-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le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v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el</w:t>
            </w:r>
            <w:r w:rsidRPr="00413859">
              <w:rPr>
                <w:rFonts w:asciiTheme="minorHAnsi" w:eastAsia="Verdana" w:hAnsiTheme="minorHAnsi" w:cstheme="minorHAnsi"/>
                <w:spacing w:val="-6"/>
                <w:w w:val="101"/>
              </w:rPr>
              <w:t>-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m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d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e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 xml:space="preserve">g 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>u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s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>g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</w:rPr>
              <w:t>xi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l</w:t>
            </w:r>
            <w:r w:rsidRPr="00413859"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>x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s</w:t>
            </w:r>
            <w:r w:rsidRPr="00413859">
              <w:rPr>
                <w:rFonts w:asciiTheme="minorHAnsi" w:eastAsia="Verdana" w:hAnsiTheme="minorHAnsi" w:cstheme="minorHAnsi"/>
              </w:rPr>
              <w:t xml:space="preserve">e 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o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</w:t>
            </w:r>
            <w:r w:rsidRPr="00413859">
              <w:rPr>
                <w:rFonts w:asciiTheme="minorHAnsi" w:eastAsia="Verdana" w:hAnsiTheme="minorHAnsi" w:cstheme="minorHAnsi"/>
              </w:rPr>
              <w:t>s</w:t>
            </w:r>
          </w:p>
          <w:p w:rsidR="005D3F63" w:rsidRDefault="005D3F63" w:rsidP="00CC6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5D3F63" w:rsidRPr="005D3F63" w:rsidRDefault="00C477F8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Material will be provided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A9" w:rsidRDefault="00FE49A9" w:rsidP="00C43620">
      <w:pPr>
        <w:spacing w:after="0" w:line="240" w:lineRule="auto"/>
      </w:pPr>
      <w:r>
        <w:separator/>
      </w:r>
    </w:p>
  </w:endnote>
  <w:endnote w:type="continuationSeparator" w:id="1">
    <w:p w:rsidR="00FE49A9" w:rsidRDefault="00FE49A9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5D4979">
      <w:fldChar w:fldCharType="begin"/>
    </w:r>
    <w:r w:rsidR="005E2095">
      <w:instrText xml:space="preserve"> PAGE   \* MERGEFORMAT </w:instrText>
    </w:r>
    <w:r w:rsidR="005D4979">
      <w:fldChar w:fldCharType="separate"/>
    </w:r>
    <w:r w:rsidR="00553EF2">
      <w:rPr>
        <w:noProof/>
      </w:rPr>
      <w:t>4</w:t>
    </w:r>
    <w:r w:rsidR="005D4979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A9" w:rsidRDefault="00FE49A9" w:rsidP="00C43620">
      <w:pPr>
        <w:spacing w:after="0" w:line="240" w:lineRule="auto"/>
      </w:pPr>
      <w:r>
        <w:separator/>
      </w:r>
    </w:p>
  </w:footnote>
  <w:footnote w:type="continuationSeparator" w:id="1">
    <w:p w:rsidR="00FE49A9" w:rsidRDefault="00FE49A9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47602"/>
    <w:rsid w:val="000B50D5"/>
    <w:rsid w:val="001103C3"/>
    <w:rsid w:val="001122B9"/>
    <w:rsid w:val="00116801"/>
    <w:rsid w:val="001330BD"/>
    <w:rsid w:val="0014107B"/>
    <w:rsid w:val="00172464"/>
    <w:rsid w:val="001D47EC"/>
    <w:rsid w:val="001F09C5"/>
    <w:rsid w:val="0022737D"/>
    <w:rsid w:val="0023134B"/>
    <w:rsid w:val="00261F9C"/>
    <w:rsid w:val="0026238C"/>
    <w:rsid w:val="00275249"/>
    <w:rsid w:val="00290B81"/>
    <w:rsid w:val="002B77B1"/>
    <w:rsid w:val="00353D9C"/>
    <w:rsid w:val="003A14A3"/>
    <w:rsid w:val="003B74C8"/>
    <w:rsid w:val="0045482C"/>
    <w:rsid w:val="004601FB"/>
    <w:rsid w:val="00497D2C"/>
    <w:rsid w:val="00546CFC"/>
    <w:rsid w:val="00552708"/>
    <w:rsid w:val="00553EF2"/>
    <w:rsid w:val="0057151F"/>
    <w:rsid w:val="00573BE1"/>
    <w:rsid w:val="0059557B"/>
    <w:rsid w:val="005A56D7"/>
    <w:rsid w:val="005D3F63"/>
    <w:rsid w:val="005D4979"/>
    <w:rsid w:val="005E2095"/>
    <w:rsid w:val="005E49C1"/>
    <w:rsid w:val="00634E1A"/>
    <w:rsid w:val="00684982"/>
    <w:rsid w:val="006D51CD"/>
    <w:rsid w:val="00757B79"/>
    <w:rsid w:val="0078114A"/>
    <w:rsid w:val="0078457A"/>
    <w:rsid w:val="008021C5"/>
    <w:rsid w:val="00807273"/>
    <w:rsid w:val="0083201A"/>
    <w:rsid w:val="00834EE3"/>
    <w:rsid w:val="00845732"/>
    <w:rsid w:val="00862937"/>
    <w:rsid w:val="00892F73"/>
    <w:rsid w:val="008B62DA"/>
    <w:rsid w:val="008F3175"/>
    <w:rsid w:val="00916EA3"/>
    <w:rsid w:val="00935B5F"/>
    <w:rsid w:val="009402EF"/>
    <w:rsid w:val="009450C6"/>
    <w:rsid w:val="00962CD9"/>
    <w:rsid w:val="00965F52"/>
    <w:rsid w:val="009C4F70"/>
    <w:rsid w:val="009F2352"/>
    <w:rsid w:val="00A062FA"/>
    <w:rsid w:val="00A41757"/>
    <w:rsid w:val="00A43D98"/>
    <w:rsid w:val="00A60C59"/>
    <w:rsid w:val="00A84A9F"/>
    <w:rsid w:val="00AC32A2"/>
    <w:rsid w:val="00AC79BF"/>
    <w:rsid w:val="00AE1EEB"/>
    <w:rsid w:val="00AF1563"/>
    <w:rsid w:val="00AF4489"/>
    <w:rsid w:val="00B66B7F"/>
    <w:rsid w:val="00B70611"/>
    <w:rsid w:val="00BE4BF3"/>
    <w:rsid w:val="00C1511C"/>
    <w:rsid w:val="00C23299"/>
    <w:rsid w:val="00C26C99"/>
    <w:rsid w:val="00C43620"/>
    <w:rsid w:val="00C477F8"/>
    <w:rsid w:val="00C6559F"/>
    <w:rsid w:val="00CA405D"/>
    <w:rsid w:val="00CD5ED7"/>
    <w:rsid w:val="00D1722E"/>
    <w:rsid w:val="00D8284D"/>
    <w:rsid w:val="00DA3373"/>
    <w:rsid w:val="00DA76E8"/>
    <w:rsid w:val="00DC3F71"/>
    <w:rsid w:val="00DC5B4C"/>
    <w:rsid w:val="00E156BB"/>
    <w:rsid w:val="00E62C51"/>
    <w:rsid w:val="00E85E59"/>
    <w:rsid w:val="00E94B9D"/>
    <w:rsid w:val="00EB16F5"/>
    <w:rsid w:val="00ED3285"/>
    <w:rsid w:val="00F147C0"/>
    <w:rsid w:val="00F6479D"/>
    <w:rsid w:val="00FA4202"/>
    <w:rsid w:val="00FC3315"/>
    <w:rsid w:val="00FC4377"/>
    <w:rsid w:val="00FE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3734</cp:lastModifiedBy>
  <cp:revision>6</cp:revision>
  <cp:lastPrinted>2013-09-06T12:31:00Z</cp:lastPrinted>
  <dcterms:created xsi:type="dcterms:W3CDTF">2015-10-01T09:01:00Z</dcterms:created>
  <dcterms:modified xsi:type="dcterms:W3CDTF">2015-10-01T09:03:00Z</dcterms:modified>
</cp:coreProperties>
</file>