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EA" w:rsidRDefault="00B002EA"/>
    <w:p w:rsidR="00B002EA" w:rsidRDefault="00B002EA"/>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4"/>
        <w:gridCol w:w="3780"/>
        <w:gridCol w:w="1620"/>
        <w:gridCol w:w="3330"/>
      </w:tblGrid>
      <w:tr w:rsidR="00547035" w:rsidRPr="005C30C3" w:rsidTr="00325874">
        <w:trPr>
          <w:trHeight w:hRule="exact" w:val="1440"/>
        </w:trPr>
        <w:tc>
          <w:tcPr>
            <w:tcW w:w="10314" w:type="dxa"/>
            <w:gridSpan w:val="4"/>
            <w:tcBorders>
              <w:top w:val="double" w:sz="4" w:space="0" w:color="auto"/>
              <w:bottom w:val="double" w:sz="4" w:space="0" w:color="auto"/>
            </w:tcBorders>
            <w:tcMar>
              <w:top w:w="144" w:type="dxa"/>
              <w:left w:w="144" w:type="dxa"/>
              <w:bottom w:w="144" w:type="dxa"/>
              <w:right w:w="144" w:type="dxa"/>
            </w:tcMar>
            <w:vAlign w:val="center"/>
          </w:tcPr>
          <w:p w:rsidR="00547035" w:rsidRPr="004408BD" w:rsidRDefault="00323D40" w:rsidP="008A1634">
            <w:pPr>
              <w:jc w:val="center"/>
              <w:rPr>
                <w:rFonts w:ascii="Calibri" w:hAnsi="Calibri"/>
                <w:b/>
                <w:sz w:val="32"/>
                <w:szCs w:val="32"/>
              </w:rPr>
            </w:pPr>
            <w:r>
              <w:rPr>
                <w:b/>
                <w:noProof/>
                <w:sz w:val="30"/>
                <w:szCs w:val="32"/>
              </w:rPr>
              <w:drawing>
                <wp:anchor distT="0" distB="0" distL="114300" distR="114300" simplePos="0" relativeHeight="251657728" behindDoc="0" locked="0" layoutInCell="1" allowOverlap="1">
                  <wp:simplePos x="0" y="0"/>
                  <wp:positionH relativeFrom="column">
                    <wp:posOffset>62865</wp:posOffset>
                  </wp:positionH>
                  <wp:positionV relativeFrom="paragraph">
                    <wp:posOffset>635</wp:posOffset>
                  </wp:positionV>
                  <wp:extent cx="857250" cy="82867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grayscl/>
                          </a:blip>
                          <a:srcRect/>
                          <a:stretch>
                            <a:fillRect/>
                          </a:stretch>
                        </pic:blipFill>
                        <pic:spPr bwMode="auto">
                          <a:xfrm>
                            <a:off x="0" y="0"/>
                            <a:ext cx="857250" cy="828675"/>
                          </a:xfrm>
                          <a:prstGeom prst="rect">
                            <a:avLst/>
                          </a:prstGeom>
                          <a:noFill/>
                          <a:ln w="9525">
                            <a:noFill/>
                            <a:miter lim="800000"/>
                            <a:headEnd/>
                            <a:tailEnd/>
                          </a:ln>
                        </pic:spPr>
                      </pic:pic>
                    </a:graphicData>
                  </a:graphic>
                </wp:anchor>
              </w:drawing>
            </w:r>
            <w:r w:rsidR="00547035" w:rsidRPr="004408BD">
              <w:rPr>
                <w:rFonts w:ascii="Calibri" w:hAnsi="Calibri"/>
                <w:b/>
                <w:sz w:val="30"/>
                <w:szCs w:val="32"/>
              </w:rPr>
              <w:t>University of Management &amp; Technology</w:t>
            </w:r>
          </w:p>
          <w:p w:rsidR="00547035" w:rsidRPr="004408BD" w:rsidRDefault="00547035" w:rsidP="008A1634">
            <w:pPr>
              <w:jc w:val="center"/>
              <w:rPr>
                <w:rFonts w:ascii="Calibri" w:hAnsi="Calibri"/>
                <w:sz w:val="30"/>
                <w:szCs w:val="32"/>
              </w:rPr>
            </w:pPr>
            <w:r w:rsidRPr="004408BD">
              <w:rPr>
                <w:rFonts w:ascii="Calibri" w:hAnsi="Calibri"/>
                <w:sz w:val="30"/>
                <w:szCs w:val="32"/>
              </w:rPr>
              <w:t>School of Science &amp; Technology</w:t>
            </w:r>
          </w:p>
          <w:p w:rsidR="00547035" w:rsidRPr="004408BD" w:rsidRDefault="00547035" w:rsidP="008A1634">
            <w:pPr>
              <w:jc w:val="center"/>
              <w:rPr>
                <w:rFonts w:ascii="Calibri" w:hAnsi="Calibri"/>
                <w:sz w:val="38"/>
                <w:szCs w:val="32"/>
              </w:rPr>
            </w:pPr>
            <w:r w:rsidRPr="004408BD">
              <w:rPr>
                <w:rFonts w:ascii="Calibri" w:hAnsi="Calibri"/>
                <w:sz w:val="30"/>
                <w:szCs w:val="32"/>
              </w:rPr>
              <w:t xml:space="preserve">Department of </w:t>
            </w:r>
            <w:r w:rsidR="008A1634">
              <w:rPr>
                <w:rFonts w:ascii="Calibri" w:hAnsi="Calibri"/>
                <w:sz w:val="30"/>
                <w:szCs w:val="32"/>
              </w:rPr>
              <w:t>Mathematics</w:t>
            </w:r>
          </w:p>
          <w:p w:rsidR="00547035" w:rsidRPr="005C30C3" w:rsidRDefault="00547035" w:rsidP="00547035">
            <w:pPr>
              <w:pStyle w:val="Title"/>
              <w:spacing w:after="200"/>
              <w:ind w:left="0"/>
              <w:jc w:val="left"/>
              <w:rPr>
                <w:rFonts w:ascii="Calibri" w:hAnsi="Calibri"/>
                <w:sz w:val="38"/>
                <w:szCs w:val="32"/>
              </w:rPr>
            </w:pPr>
          </w:p>
        </w:tc>
      </w:tr>
      <w:tr w:rsidR="00A55C5C" w:rsidRPr="005C30C3" w:rsidTr="00325874">
        <w:trPr>
          <w:trHeight w:val="144"/>
        </w:trPr>
        <w:tc>
          <w:tcPr>
            <w:tcW w:w="10314" w:type="dxa"/>
            <w:gridSpan w:val="4"/>
            <w:tcBorders>
              <w:top w:val="double" w:sz="4" w:space="0" w:color="auto"/>
              <w:bottom w:val="single" w:sz="4" w:space="0" w:color="auto"/>
            </w:tcBorders>
            <w:tcMar>
              <w:top w:w="144" w:type="dxa"/>
              <w:left w:w="144" w:type="dxa"/>
              <w:bottom w:w="144" w:type="dxa"/>
              <w:right w:w="144" w:type="dxa"/>
            </w:tcMar>
            <w:vAlign w:val="center"/>
          </w:tcPr>
          <w:p w:rsidR="00A55C5C" w:rsidRPr="005C30C3" w:rsidRDefault="00AF776F" w:rsidP="008A1634">
            <w:pPr>
              <w:pStyle w:val="Title"/>
              <w:ind w:left="-72"/>
              <w:rPr>
                <w:rFonts w:ascii="Calibri" w:hAnsi="Calibri"/>
                <w:sz w:val="38"/>
                <w:szCs w:val="32"/>
              </w:rPr>
            </w:pPr>
            <w:r>
              <w:rPr>
                <w:rFonts w:ascii="Calibri" w:hAnsi="Calibri"/>
                <w:sz w:val="30"/>
                <w:szCs w:val="32"/>
              </w:rPr>
              <w:t>MA 11</w:t>
            </w:r>
            <w:r w:rsidR="00435F47">
              <w:rPr>
                <w:rFonts w:ascii="Calibri" w:hAnsi="Calibri"/>
                <w:sz w:val="30"/>
                <w:szCs w:val="32"/>
              </w:rPr>
              <w:t>1</w:t>
            </w:r>
            <w:r w:rsidR="00A55C5C" w:rsidRPr="004408BD">
              <w:rPr>
                <w:rFonts w:ascii="Calibri" w:hAnsi="Calibri"/>
                <w:sz w:val="30"/>
                <w:szCs w:val="32"/>
              </w:rPr>
              <w:t xml:space="preserve"> </w:t>
            </w:r>
            <w:r w:rsidR="008A1634">
              <w:rPr>
                <w:rFonts w:ascii="Calibri" w:hAnsi="Calibri"/>
                <w:sz w:val="30"/>
                <w:szCs w:val="32"/>
              </w:rPr>
              <w:t>Applied Calculus</w:t>
            </w:r>
          </w:p>
        </w:tc>
      </w:tr>
      <w:tr w:rsidR="00BC0594" w:rsidRPr="006D0990" w:rsidTr="00325874">
        <w:tc>
          <w:tcPr>
            <w:tcW w:w="1584"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BC0594" w:rsidP="00694E70">
            <w:pPr>
              <w:tabs>
                <w:tab w:val="left" w:pos="578"/>
                <w:tab w:val="left" w:pos="900"/>
                <w:tab w:val="left" w:pos="3131"/>
                <w:tab w:val="left" w:pos="5607"/>
                <w:tab w:val="left" w:pos="8082"/>
              </w:tabs>
              <w:ind w:left="-90" w:right="-25"/>
              <w:jc w:val="center"/>
              <w:rPr>
                <w:rFonts w:ascii="Calibri" w:hAnsi="Calibri"/>
                <w:b/>
              </w:rPr>
            </w:pPr>
            <w:r w:rsidRPr="006D0990">
              <w:rPr>
                <w:rFonts w:ascii="Calibri" w:hAnsi="Calibri"/>
                <w:b/>
              </w:rPr>
              <w:t>Lecture Schedule</w:t>
            </w:r>
          </w:p>
        </w:tc>
        <w:tc>
          <w:tcPr>
            <w:tcW w:w="3780" w:type="dxa"/>
            <w:tcBorders>
              <w:top w:val="single" w:sz="4" w:space="0" w:color="auto"/>
              <w:bottom w:val="single" w:sz="4" w:space="0" w:color="auto"/>
            </w:tcBorders>
            <w:tcMar>
              <w:top w:w="144" w:type="dxa"/>
              <w:left w:w="144" w:type="dxa"/>
              <w:bottom w:w="144" w:type="dxa"/>
              <w:right w:w="144" w:type="dxa"/>
            </w:tcMar>
            <w:vAlign w:val="center"/>
          </w:tcPr>
          <w:p w:rsidR="00D35A0C" w:rsidRPr="006D0990" w:rsidRDefault="00D35A0C" w:rsidP="009129E6">
            <w:pPr>
              <w:tabs>
                <w:tab w:val="left" w:pos="578"/>
                <w:tab w:val="left" w:pos="3131"/>
                <w:tab w:val="left" w:pos="5607"/>
                <w:tab w:val="left" w:pos="8082"/>
              </w:tabs>
              <w:ind w:right="-25"/>
              <w:jc w:val="center"/>
              <w:rPr>
                <w:rFonts w:ascii="Calibri" w:hAnsi="Calibri"/>
                <w:bCs/>
              </w:rPr>
            </w:pPr>
          </w:p>
        </w:tc>
        <w:tc>
          <w:tcPr>
            <w:tcW w:w="1620"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BC0594" w:rsidP="00694E70">
            <w:pPr>
              <w:tabs>
                <w:tab w:val="left" w:pos="578"/>
                <w:tab w:val="left" w:pos="900"/>
                <w:tab w:val="left" w:pos="3131"/>
                <w:tab w:val="left" w:pos="5607"/>
                <w:tab w:val="left" w:pos="8082"/>
              </w:tabs>
              <w:ind w:left="-90" w:right="-25"/>
              <w:jc w:val="center"/>
              <w:rPr>
                <w:rFonts w:ascii="Calibri" w:hAnsi="Calibri"/>
                <w:b/>
              </w:rPr>
            </w:pPr>
            <w:r w:rsidRPr="006D0990">
              <w:rPr>
                <w:rFonts w:ascii="Calibri" w:hAnsi="Calibri"/>
                <w:b/>
              </w:rPr>
              <w:t>Semester</w:t>
            </w:r>
          </w:p>
        </w:tc>
        <w:tc>
          <w:tcPr>
            <w:tcW w:w="3330"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6C3A02" w:rsidP="00694E70">
            <w:pPr>
              <w:tabs>
                <w:tab w:val="left" w:pos="578"/>
                <w:tab w:val="left" w:pos="3131"/>
                <w:tab w:val="left" w:pos="5607"/>
                <w:tab w:val="left" w:pos="8082"/>
              </w:tabs>
              <w:ind w:right="-25"/>
              <w:jc w:val="center"/>
              <w:rPr>
                <w:rFonts w:ascii="Calibri" w:hAnsi="Calibri"/>
                <w:bCs/>
              </w:rPr>
            </w:pPr>
            <w:r>
              <w:rPr>
                <w:rFonts w:ascii="Calibri" w:hAnsi="Calibri"/>
                <w:bCs/>
              </w:rPr>
              <w:t>Fall</w:t>
            </w:r>
            <w:r w:rsidR="0088461D">
              <w:rPr>
                <w:rFonts w:ascii="Calibri" w:hAnsi="Calibri"/>
                <w:bCs/>
              </w:rPr>
              <w:t xml:space="preserve"> </w:t>
            </w:r>
            <w:r w:rsidR="004F484F" w:rsidRPr="006D0990">
              <w:rPr>
                <w:rFonts w:ascii="Calibri" w:hAnsi="Calibri"/>
                <w:bCs/>
              </w:rPr>
              <w:t>201</w:t>
            </w:r>
            <w:r w:rsidR="00991A0C">
              <w:rPr>
                <w:rFonts w:ascii="Calibri" w:hAnsi="Calibri"/>
                <w:bCs/>
              </w:rPr>
              <w:t>2</w:t>
            </w:r>
          </w:p>
        </w:tc>
      </w:tr>
      <w:tr w:rsidR="006D0990" w:rsidRPr="006D0990" w:rsidTr="00325874">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Calibri" w:hAnsi="Calibri"/>
                <w:b/>
              </w:rPr>
            </w:pPr>
            <w:r w:rsidRPr="006D0990">
              <w:rPr>
                <w:rFonts w:ascii="Calibri" w:hAnsi="Calibri"/>
                <w:b/>
              </w:rPr>
              <w:t>Pre-requisite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C3A02" w:rsidP="003927B6">
            <w:pPr>
              <w:tabs>
                <w:tab w:val="left" w:pos="578"/>
                <w:tab w:val="left" w:pos="3131"/>
                <w:tab w:val="left" w:pos="5607"/>
                <w:tab w:val="left" w:pos="8082"/>
              </w:tabs>
              <w:ind w:right="-25"/>
              <w:jc w:val="center"/>
              <w:rPr>
                <w:rFonts w:ascii="Calibri" w:hAnsi="Calibri"/>
                <w:bCs/>
              </w:rPr>
            </w:pPr>
            <w:r w:rsidRPr="006D0990">
              <w:rPr>
                <w:rFonts w:ascii="Calibri" w:hAnsi="Calibri"/>
                <w:bCs/>
              </w:rPr>
              <w:t>None</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Calibri" w:hAnsi="Calibri"/>
                <w:b/>
              </w:rPr>
            </w:pPr>
            <w:r w:rsidRPr="006D0990">
              <w:rPr>
                <w:rFonts w:ascii="Calibri" w:hAnsi="Calibri"/>
                <w:b/>
              </w:rPr>
              <w:t>Credit Hours</w:t>
            </w:r>
          </w:p>
        </w:tc>
        <w:tc>
          <w:tcPr>
            <w:tcW w:w="333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1354B1" w:rsidP="006C3A02">
            <w:pPr>
              <w:tabs>
                <w:tab w:val="left" w:pos="578"/>
                <w:tab w:val="left" w:pos="3131"/>
                <w:tab w:val="left" w:pos="5607"/>
                <w:tab w:val="left" w:pos="8082"/>
              </w:tabs>
              <w:ind w:right="-25"/>
              <w:jc w:val="center"/>
              <w:rPr>
                <w:rFonts w:ascii="Calibri" w:hAnsi="Calibri"/>
                <w:bCs/>
              </w:rPr>
            </w:pPr>
            <w:r>
              <w:rPr>
                <w:rFonts w:ascii="Calibri" w:hAnsi="Calibri"/>
                <w:bCs/>
              </w:rPr>
              <w:t>4</w:t>
            </w:r>
          </w:p>
        </w:tc>
      </w:tr>
      <w:tr w:rsidR="006D0990" w:rsidRPr="006D0990" w:rsidTr="00325874">
        <w:trPr>
          <w:trHeight w:val="503"/>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Calibri" w:hAnsi="Calibri"/>
                <w:b/>
              </w:rPr>
            </w:pPr>
            <w:r w:rsidRPr="006D0990">
              <w:rPr>
                <w:rFonts w:ascii="Calibri" w:hAnsi="Calibri"/>
                <w:b/>
              </w:rPr>
              <w:t>Instructor</w:t>
            </w:r>
            <w:r w:rsidR="005B20D4">
              <w:rPr>
                <w:rFonts w:ascii="Calibri" w:hAnsi="Calibri"/>
                <w:b/>
              </w:rPr>
              <w:t>(s)</w:t>
            </w:r>
          </w:p>
        </w:tc>
        <w:tc>
          <w:tcPr>
            <w:tcW w:w="3780" w:type="dxa"/>
            <w:tcBorders>
              <w:top w:val="double" w:sz="4" w:space="0" w:color="auto"/>
              <w:bottom w:val="single" w:sz="4" w:space="0" w:color="auto"/>
            </w:tcBorders>
            <w:tcMar>
              <w:top w:w="144" w:type="dxa"/>
              <w:left w:w="144" w:type="dxa"/>
              <w:bottom w:w="144" w:type="dxa"/>
              <w:right w:w="144" w:type="dxa"/>
            </w:tcMar>
            <w:vAlign w:val="center"/>
          </w:tcPr>
          <w:p w:rsidR="005B20D4" w:rsidRPr="006D0990" w:rsidRDefault="00090690" w:rsidP="00BD0927">
            <w:pPr>
              <w:tabs>
                <w:tab w:val="left" w:pos="578"/>
                <w:tab w:val="left" w:pos="3131"/>
                <w:tab w:val="left" w:pos="5607"/>
                <w:tab w:val="left" w:pos="8082"/>
              </w:tabs>
              <w:ind w:right="-25"/>
              <w:rPr>
                <w:rFonts w:ascii="Calibri" w:hAnsi="Calibri"/>
                <w:bCs/>
              </w:rPr>
            </w:pPr>
            <w:proofErr w:type="spellStart"/>
            <w:r>
              <w:rPr>
                <w:rFonts w:ascii="Calibri" w:hAnsi="Calibri"/>
                <w:bCs/>
              </w:rPr>
              <w:t>Ifra</w:t>
            </w:r>
            <w:proofErr w:type="spellEnd"/>
            <w:r>
              <w:rPr>
                <w:rFonts w:ascii="Calibri" w:hAnsi="Calibri"/>
                <w:bCs/>
              </w:rPr>
              <w:t xml:space="preserve"> </w:t>
            </w:r>
            <w:proofErr w:type="spellStart"/>
            <w:r>
              <w:rPr>
                <w:rFonts w:ascii="Calibri" w:hAnsi="Calibri"/>
                <w:bCs/>
              </w:rPr>
              <w:t>Noureen</w:t>
            </w:r>
            <w:proofErr w:type="spellEnd"/>
          </w:p>
        </w:tc>
        <w:tc>
          <w:tcPr>
            <w:tcW w:w="162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Calibri" w:hAnsi="Calibri"/>
                <w:b/>
              </w:rPr>
            </w:pPr>
            <w:r w:rsidRPr="006D0990">
              <w:rPr>
                <w:rFonts w:ascii="Calibri" w:hAnsi="Calibri"/>
                <w:b/>
              </w:rPr>
              <w:t>Contact</w:t>
            </w:r>
          </w:p>
        </w:tc>
        <w:tc>
          <w:tcPr>
            <w:tcW w:w="3330" w:type="dxa"/>
            <w:tcBorders>
              <w:top w:val="double" w:sz="4" w:space="0" w:color="auto"/>
              <w:bottom w:val="single" w:sz="4" w:space="0" w:color="auto"/>
            </w:tcBorders>
            <w:tcMar>
              <w:top w:w="144" w:type="dxa"/>
              <w:left w:w="144" w:type="dxa"/>
              <w:bottom w:w="144" w:type="dxa"/>
              <w:right w:w="144" w:type="dxa"/>
            </w:tcMar>
            <w:vAlign w:val="center"/>
          </w:tcPr>
          <w:p w:rsidR="00504EB5" w:rsidRPr="006D0990" w:rsidRDefault="00090690" w:rsidP="00694E70">
            <w:pPr>
              <w:tabs>
                <w:tab w:val="left" w:pos="578"/>
                <w:tab w:val="left" w:pos="3131"/>
                <w:tab w:val="left" w:pos="5607"/>
                <w:tab w:val="left" w:pos="8082"/>
              </w:tabs>
              <w:ind w:right="-25"/>
              <w:rPr>
                <w:rFonts w:ascii="Calibri" w:hAnsi="Calibri"/>
                <w:bCs/>
              </w:rPr>
            </w:pPr>
            <w:r>
              <w:rPr>
                <w:rFonts w:ascii="Calibri" w:hAnsi="Calibri"/>
                <w:bCs/>
              </w:rPr>
              <w:t>Ifra.noureen</w:t>
            </w:r>
            <w:r w:rsidR="003514F7">
              <w:rPr>
                <w:rFonts w:ascii="Calibri" w:hAnsi="Calibri"/>
                <w:bCs/>
              </w:rPr>
              <w:t>@umt.edu.pk</w:t>
            </w:r>
          </w:p>
        </w:tc>
      </w:tr>
      <w:tr w:rsidR="006D0990" w:rsidRPr="006D0990" w:rsidTr="00325874">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Calibri" w:hAnsi="Calibri"/>
                <w:b/>
              </w:rPr>
            </w:pPr>
            <w:r w:rsidRPr="006D0990">
              <w:rPr>
                <w:rFonts w:ascii="Calibri" w:hAnsi="Calibri"/>
                <w:b/>
              </w:rPr>
              <w:t>Office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4C33E5" w:rsidRPr="00C30060" w:rsidRDefault="004C33E5" w:rsidP="00694E70">
            <w:pPr>
              <w:tabs>
                <w:tab w:val="left" w:pos="578"/>
                <w:tab w:val="left" w:pos="3131"/>
                <w:tab w:val="left" w:pos="5607"/>
                <w:tab w:val="left" w:pos="8082"/>
              </w:tabs>
              <w:ind w:right="-25"/>
              <w:rPr>
                <w:rFonts w:ascii="Calibri" w:hAnsi="Calibri"/>
                <w:bCs/>
                <w:vertAlign w:val="superscript"/>
              </w:rPr>
            </w:pP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Calibri" w:hAnsi="Calibri"/>
                <w:b/>
                <w:bCs/>
              </w:rPr>
            </w:pPr>
            <w:r w:rsidRPr="006D0990">
              <w:rPr>
                <w:rFonts w:ascii="Calibri" w:hAnsi="Calibri"/>
                <w:b/>
                <w:bCs/>
              </w:rPr>
              <w:t>Office Hours</w:t>
            </w:r>
          </w:p>
        </w:tc>
        <w:tc>
          <w:tcPr>
            <w:tcW w:w="333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right="-25"/>
              <w:jc w:val="center"/>
              <w:rPr>
                <w:rFonts w:ascii="Calibri" w:hAnsi="Calibri"/>
                <w:bCs/>
              </w:rPr>
            </w:pPr>
          </w:p>
        </w:tc>
      </w:tr>
      <w:tr w:rsidR="006D0990" w:rsidRPr="006D0990" w:rsidTr="00325874">
        <w:trPr>
          <w:trHeight w:val="144"/>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B11BC6" w:rsidP="00694E70">
            <w:pPr>
              <w:tabs>
                <w:tab w:val="left" w:pos="578"/>
                <w:tab w:val="left" w:pos="3131"/>
                <w:tab w:val="left" w:pos="5607"/>
                <w:tab w:val="left" w:pos="8082"/>
              </w:tabs>
              <w:ind w:left="-90" w:right="-25"/>
              <w:jc w:val="center"/>
              <w:rPr>
                <w:rFonts w:ascii="Calibri" w:hAnsi="Calibri"/>
                <w:b/>
                <w:bCs/>
              </w:rPr>
            </w:pPr>
            <w:r>
              <w:rPr>
                <w:rFonts w:ascii="Calibri" w:hAnsi="Calibri"/>
                <w:b/>
                <w:bCs/>
              </w:rPr>
              <w:t>Teacher Assistant</w:t>
            </w:r>
          </w:p>
        </w:tc>
        <w:tc>
          <w:tcPr>
            <w:tcW w:w="378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B11BC6" w:rsidP="00694E70">
            <w:pPr>
              <w:tabs>
                <w:tab w:val="left" w:pos="578"/>
                <w:tab w:val="left" w:pos="3131"/>
                <w:tab w:val="left" w:pos="5607"/>
                <w:tab w:val="left" w:pos="8082"/>
              </w:tabs>
              <w:ind w:right="-25"/>
              <w:jc w:val="center"/>
              <w:rPr>
                <w:rFonts w:ascii="Calibri" w:hAnsi="Calibri"/>
                <w:bCs/>
              </w:rPr>
            </w:pPr>
            <w:r w:rsidRPr="006D0990">
              <w:rPr>
                <w:rFonts w:ascii="Calibri" w:hAnsi="Calibri"/>
                <w:bCs/>
              </w:rPr>
              <w:t>N/A</w:t>
            </w:r>
          </w:p>
        </w:tc>
        <w:tc>
          <w:tcPr>
            <w:tcW w:w="162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Calibri" w:hAnsi="Calibri"/>
                <w:b/>
              </w:rPr>
            </w:pPr>
            <w:r w:rsidRPr="006D0990">
              <w:rPr>
                <w:rFonts w:ascii="Calibri" w:hAnsi="Calibri"/>
                <w:b/>
              </w:rPr>
              <w:t>Contact</w:t>
            </w:r>
          </w:p>
        </w:tc>
        <w:tc>
          <w:tcPr>
            <w:tcW w:w="333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right="-25"/>
              <w:jc w:val="center"/>
              <w:rPr>
                <w:rFonts w:ascii="Calibri" w:hAnsi="Calibri"/>
                <w:bCs/>
              </w:rPr>
            </w:pPr>
            <w:r w:rsidRPr="006D0990">
              <w:rPr>
                <w:rFonts w:ascii="Calibri" w:hAnsi="Calibri"/>
                <w:bCs/>
              </w:rPr>
              <w:t>N/A</w:t>
            </w:r>
          </w:p>
        </w:tc>
      </w:tr>
      <w:tr w:rsidR="006D0990" w:rsidRPr="006D0990" w:rsidTr="00325874">
        <w:trPr>
          <w:trHeight w:val="144"/>
        </w:trPr>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Calibri" w:hAnsi="Calibri"/>
                <w:b/>
                <w:bCs/>
              </w:rPr>
            </w:pPr>
            <w:r w:rsidRPr="006D0990">
              <w:rPr>
                <w:rFonts w:ascii="Calibri" w:hAnsi="Calibri"/>
                <w:b/>
                <w:bCs/>
              </w:rPr>
              <w:t>Office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B11BC6" w:rsidP="00B11BC6">
            <w:pPr>
              <w:tabs>
                <w:tab w:val="left" w:pos="578"/>
                <w:tab w:val="left" w:pos="3131"/>
                <w:tab w:val="left" w:pos="5607"/>
                <w:tab w:val="left" w:pos="8082"/>
              </w:tabs>
              <w:ind w:right="-25"/>
              <w:jc w:val="center"/>
              <w:rPr>
                <w:rFonts w:ascii="Calibri" w:hAnsi="Calibri"/>
                <w:bCs/>
              </w:rPr>
            </w:pPr>
            <w:r w:rsidRPr="006D0990">
              <w:rPr>
                <w:rFonts w:ascii="Calibri" w:hAnsi="Calibri"/>
                <w:bCs/>
              </w:rPr>
              <w:t>N/A</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386315" w:rsidP="00694E70">
            <w:pPr>
              <w:tabs>
                <w:tab w:val="left" w:pos="578"/>
                <w:tab w:val="left" w:pos="900"/>
                <w:tab w:val="left" w:pos="3131"/>
                <w:tab w:val="left" w:pos="5607"/>
                <w:tab w:val="left" w:pos="8082"/>
              </w:tabs>
              <w:ind w:left="-90" w:right="-25"/>
              <w:jc w:val="center"/>
              <w:rPr>
                <w:rFonts w:ascii="Calibri" w:hAnsi="Calibri"/>
                <w:b/>
              </w:rPr>
            </w:pPr>
            <w:r w:rsidRPr="006D0990">
              <w:rPr>
                <w:rFonts w:ascii="Calibri" w:hAnsi="Calibri"/>
                <w:b/>
                <w:bCs/>
              </w:rPr>
              <w:t>Office Hours</w:t>
            </w:r>
          </w:p>
        </w:tc>
        <w:tc>
          <w:tcPr>
            <w:tcW w:w="333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B11BC6" w:rsidP="00694E70">
            <w:pPr>
              <w:tabs>
                <w:tab w:val="left" w:pos="578"/>
                <w:tab w:val="left" w:pos="3131"/>
                <w:tab w:val="left" w:pos="5607"/>
                <w:tab w:val="left" w:pos="8082"/>
              </w:tabs>
              <w:ind w:right="-25"/>
              <w:jc w:val="center"/>
              <w:rPr>
                <w:rFonts w:ascii="Calibri" w:hAnsi="Calibri"/>
                <w:bCs/>
              </w:rPr>
            </w:pPr>
            <w:r w:rsidRPr="006D0990">
              <w:rPr>
                <w:rFonts w:ascii="Calibri" w:hAnsi="Calibri"/>
                <w:bCs/>
              </w:rPr>
              <w:t>N/A</w:t>
            </w:r>
          </w:p>
        </w:tc>
      </w:tr>
      <w:tr w:rsidR="006D0990" w:rsidRPr="006D0990" w:rsidTr="00325874">
        <w:tc>
          <w:tcPr>
            <w:tcW w:w="1584" w:type="dxa"/>
            <w:tcBorders>
              <w:top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Calibri" w:hAnsi="Calibri"/>
              </w:rPr>
            </w:pPr>
            <w:r w:rsidRPr="006D0990">
              <w:rPr>
                <w:rFonts w:ascii="Calibri" w:hAnsi="Calibri"/>
                <w:b/>
                <w:bCs/>
              </w:rPr>
              <w:t>Course Description</w:t>
            </w:r>
          </w:p>
        </w:tc>
        <w:tc>
          <w:tcPr>
            <w:tcW w:w="8730" w:type="dxa"/>
            <w:gridSpan w:val="3"/>
            <w:tcBorders>
              <w:top w:val="double" w:sz="4" w:space="0" w:color="auto"/>
            </w:tcBorders>
            <w:tcMar>
              <w:top w:w="144" w:type="dxa"/>
              <w:left w:w="144" w:type="dxa"/>
              <w:bottom w:w="144" w:type="dxa"/>
              <w:right w:w="144" w:type="dxa"/>
            </w:tcMar>
          </w:tcPr>
          <w:p w:rsidR="008A1634" w:rsidRDefault="00B11BC6" w:rsidP="008A1634">
            <w:pPr>
              <w:pStyle w:val="NormalWeb"/>
              <w:jc w:val="both"/>
              <w:rPr>
                <w:rFonts w:ascii="Arial" w:hAnsi="Arial" w:cs="Arial"/>
                <w:sz w:val="20"/>
                <w:szCs w:val="20"/>
              </w:rPr>
            </w:pPr>
            <w:r>
              <w:rPr>
                <w:rFonts w:ascii="Arial" w:hAnsi="Arial" w:cs="Arial"/>
                <w:sz w:val="20"/>
                <w:szCs w:val="20"/>
              </w:rPr>
              <w:t>MA11</w:t>
            </w:r>
            <w:r w:rsidR="008A1634" w:rsidRPr="00E60F10">
              <w:rPr>
                <w:rFonts w:ascii="Arial" w:hAnsi="Arial" w:cs="Arial"/>
                <w:sz w:val="20"/>
                <w:szCs w:val="20"/>
              </w:rPr>
              <w:t>1</w:t>
            </w:r>
            <w:r w:rsidR="008A1634">
              <w:rPr>
                <w:rFonts w:ascii="Arial" w:hAnsi="Arial" w:cs="Arial"/>
                <w:sz w:val="20"/>
                <w:szCs w:val="20"/>
              </w:rPr>
              <w:t xml:space="preserve"> is a one-semester, </w:t>
            </w:r>
            <w:r w:rsidR="001354B1">
              <w:rPr>
                <w:rFonts w:ascii="Arial" w:hAnsi="Arial" w:cs="Arial"/>
                <w:sz w:val="20"/>
                <w:szCs w:val="20"/>
              </w:rPr>
              <w:t>four</w:t>
            </w:r>
            <w:r w:rsidR="008A1634" w:rsidRPr="00E60F10">
              <w:rPr>
                <w:rFonts w:ascii="Arial" w:hAnsi="Arial" w:cs="Arial"/>
                <w:sz w:val="20"/>
                <w:szCs w:val="20"/>
              </w:rPr>
              <w:t>-credit course for introducing the methods of differential and integral calculus. It is assumed that the student is familiar with classical algebra and trigonometry, and has some familiarity with elements of the calculus at the interm</w:t>
            </w:r>
            <w:r w:rsidR="008A1634">
              <w:rPr>
                <w:rFonts w:ascii="Arial" w:hAnsi="Arial" w:cs="Arial"/>
                <w:sz w:val="20"/>
                <w:szCs w:val="20"/>
              </w:rPr>
              <w:t>ediate (higher secondary school</w:t>
            </w:r>
            <w:r w:rsidR="008A1634" w:rsidRPr="00E60F10">
              <w:rPr>
                <w:rFonts w:ascii="Arial" w:hAnsi="Arial" w:cs="Arial"/>
                <w:sz w:val="20"/>
                <w:szCs w:val="20"/>
              </w:rPr>
              <w:t>) level</w:t>
            </w:r>
            <w:r w:rsidR="008A1634">
              <w:rPr>
                <w:rFonts w:ascii="Arial" w:hAnsi="Arial" w:cs="Arial"/>
                <w:sz w:val="20"/>
                <w:szCs w:val="20"/>
              </w:rPr>
              <w:t>.</w:t>
            </w:r>
          </w:p>
          <w:p w:rsidR="006D0990" w:rsidRPr="006D0990" w:rsidRDefault="008A1634" w:rsidP="008A1634">
            <w:pPr>
              <w:pStyle w:val="NormalWeb"/>
              <w:jc w:val="both"/>
              <w:rPr>
                <w:rFonts w:ascii="Calibri" w:hAnsi="Calibri"/>
              </w:rPr>
            </w:pPr>
            <w:r w:rsidRPr="00E60F10">
              <w:rPr>
                <w:rFonts w:ascii="Arial" w:hAnsi="Arial" w:cs="Arial"/>
                <w:sz w:val="20"/>
                <w:szCs w:val="20"/>
              </w:rPr>
              <w:t>Afte</w:t>
            </w:r>
            <w:r>
              <w:rPr>
                <w:rFonts w:ascii="Arial" w:hAnsi="Arial" w:cs="Arial"/>
                <w:sz w:val="20"/>
                <w:szCs w:val="20"/>
              </w:rPr>
              <w:t xml:space="preserve">r discussing the calculus of a </w:t>
            </w:r>
            <w:r w:rsidRPr="00E60F10">
              <w:rPr>
                <w:rFonts w:ascii="Arial" w:hAnsi="Arial" w:cs="Arial"/>
                <w:sz w:val="20"/>
                <w:szCs w:val="20"/>
              </w:rPr>
              <w:t>single variable, the student is introduced to the calculus of two and more variables</w:t>
            </w:r>
            <w:r>
              <w:rPr>
                <w:rFonts w:ascii="Arial" w:hAnsi="Arial" w:cs="Arial"/>
                <w:sz w:val="20"/>
                <w:szCs w:val="20"/>
              </w:rPr>
              <w:t xml:space="preserve">. </w:t>
            </w:r>
            <w:r w:rsidRPr="00E60F10">
              <w:rPr>
                <w:rFonts w:ascii="Arial" w:hAnsi="Arial" w:cs="Arial"/>
                <w:sz w:val="20"/>
                <w:szCs w:val="20"/>
              </w:rPr>
              <w:t xml:space="preserve">The expansion from two to three (or more) dimensions requires a corresponding increase of the student's knowledge of symbolic representation. Partial derivatives and extreme values for functions of two variables are discussed. Then we pass on to </w:t>
            </w:r>
            <w:r>
              <w:rPr>
                <w:rFonts w:ascii="Arial" w:hAnsi="Arial" w:cs="Arial"/>
                <w:sz w:val="20"/>
                <w:szCs w:val="20"/>
              </w:rPr>
              <w:t>vectors differentiation and integration with applications</w:t>
            </w:r>
            <w:r w:rsidRPr="00E60F10">
              <w:rPr>
                <w:rFonts w:ascii="Arial" w:hAnsi="Arial" w:cs="Arial"/>
                <w:sz w:val="20"/>
                <w:szCs w:val="20"/>
              </w:rPr>
              <w:t>.</w:t>
            </w:r>
          </w:p>
        </w:tc>
      </w:tr>
      <w:tr w:rsidR="006D0990" w:rsidRPr="006D0990" w:rsidTr="00325874">
        <w:tc>
          <w:tcPr>
            <w:tcW w:w="1584" w:type="dxa"/>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Calibri" w:hAnsi="Calibri"/>
                <w:b/>
                <w:bCs/>
              </w:rPr>
            </w:pPr>
            <w:r w:rsidRPr="006D0990">
              <w:rPr>
                <w:rFonts w:ascii="Calibri" w:hAnsi="Calibri"/>
                <w:b/>
                <w:bCs/>
              </w:rPr>
              <w:t>Expected Outcomes</w:t>
            </w:r>
          </w:p>
        </w:tc>
        <w:tc>
          <w:tcPr>
            <w:tcW w:w="8730" w:type="dxa"/>
            <w:gridSpan w:val="3"/>
            <w:tcMar>
              <w:top w:w="144" w:type="dxa"/>
              <w:left w:w="144" w:type="dxa"/>
              <w:bottom w:w="144" w:type="dxa"/>
              <w:right w:w="144" w:type="dxa"/>
            </w:tcMar>
          </w:tcPr>
          <w:p w:rsidR="00745E71" w:rsidRPr="00E60F10" w:rsidRDefault="00745E71" w:rsidP="00745E71">
            <w:pPr>
              <w:numPr>
                <w:ilvl w:val="0"/>
                <w:numId w:val="1"/>
              </w:numPr>
              <w:tabs>
                <w:tab w:val="clear" w:pos="360"/>
                <w:tab w:val="left" w:pos="249"/>
                <w:tab w:val="num" w:pos="720"/>
                <w:tab w:val="left" w:pos="3131"/>
                <w:tab w:val="left" w:pos="5607"/>
                <w:tab w:val="left" w:pos="8082"/>
              </w:tabs>
              <w:ind w:left="249" w:right="-25" w:hanging="180"/>
              <w:jc w:val="both"/>
              <w:rPr>
                <w:rFonts w:ascii="Arial" w:hAnsi="Arial" w:cs="Arial"/>
                <w:b/>
                <w:bCs/>
                <w:sz w:val="20"/>
                <w:szCs w:val="20"/>
              </w:rPr>
            </w:pPr>
            <w:r w:rsidRPr="00E60F10">
              <w:rPr>
                <w:rFonts w:ascii="Arial" w:hAnsi="Arial" w:cs="Arial"/>
                <w:sz w:val="20"/>
                <w:szCs w:val="20"/>
              </w:rPr>
              <w:t xml:space="preserve">To prepare the students to understand comparatively the advanced concepts than the concepts they learnt in intermediate classes. </w:t>
            </w:r>
          </w:p>
          <w:p w:rsidR="00745E71" w:rsidRPr="00745E71" w:rsidRDefault="00745E71" w:rsidP="00745E71">
            <w:pPr>
              <w:numPr>
                <w:ilvl w:val="0"/>
                <w:numId w:val="1"/>
              </w:numPr>
              <w:tabs>
                <w:tab w:val="clear" w:pos="360"/>
                <w:tab w:val="left" w:pos="249"/>
                <w:tab w:val="num" w:pos="720"/>
                <w:tab w:val="left" w:pos="3131"/>
                <w:tab w:val="left" w:pos="5607"/>
                <w:tab w:val="left" w:pos="8082"/>
              </w:tabs>
              <w:ind w:left="249" w:right="-25" w:hanging="180"/>
              <w:jc w:val="both"/>
              <w:rPr>
                <w:rFonts w:ascii="ArialMT" w:hAnsi="ArialMT" w:cs="ArialMT"/>
                <w:sz w:val="20"/>
                <w:szCs w:val="20"/>
              </w:rPr>
            </w:pPr>
            <w:r w:rsidRPr="00E60F10">
              <w:rPr>
                <w:rFonts w:ascii="Arial" w:hAnsi="Arial" w:cs="Arial"/>
                <w:sz w:val="20"/>
                <w:szCs w:val="20"/>
              </w:rPr>
              <w:t>To enable the students learn the basic concepts of calculus of one and more variable(s); functions and their properties.</w:t>
            </w:r>
          </w:p>
          <w:p w:rsidR="007749BB" w:rsidRPr="00C869A3" w:rsidRDefault="00745E71" w:rsidP="00745E71">
            <w:pPr>
              <w:numPr>
                <w:ilvl w:val="0"/>
                <w:numId w:val="1"/>
              </w:numPr>
              <w:tabs>
                <w:tab w:val="clear" w:pos="360"/>
                <w:tab w:val="left" w:pos="249"/>
                <w:tab w:val="num" w:pos="720"/>
                <w:tab w:val="left" w:pos="3131"/>
                <w:tab w:val="left" w:pos="5607"/>
                <w:tab w:val="left" w:pos="8082"/>
              </w:tabs>
              <w:ind w:left="249" w:right="-25" w:hanging="180"/>
              <w:jc w:val="both"/>
              <w:rPr>
                <w:rFonts w:ascii="ArialMT" w:hAnsi="ArialMT" w:cs="ArialMT"/>
                <w:sz w:val="20"/>
                <w:szCs w:val="20"/>
              </w:rPr>
            </w:pPr>
            <w:r w:rsidRPr="00E60F10">
              <w:rPr>
                <w:rFonts w:ascii="Arial" w:hAnsi="Arial" w:cs="Arial"/>
                <w:sz w:val="20"/>
                <w:szCs w:val="20"/>
              </w:rPr>
              <w:t xml:space="preserve"> To prepare the student to be able to use the methods of calculus in engineering. </w:t>
            </w:r>
            <w:r w:rsidRPr="00B85539">
              <w:rPr>
                <w:rFonts w:ascii="Arial" w:hAnsi="Arial"/>
                <w:b/>
                <w:bCs/>
                <w:sz w:val="20"/>
                <w:szCs w:val="20"/>
              </w:rPr>
              <w:t xml:space="preserve">                              </w:t>
            </w:r>
          </w:p>
        </w:tc>
      </w:tr>
      <w:tr w:rsidR="006D0990" w:rsidRPr="006D0990" w:rsidTr="00325874">
        <w:trPr>
          <w:trHeight w:val="503"/>
        </w:trPr>
        <w:tc>
          <w:tcPr>
            <w:tcW w:w="1584" w:type="dxa"/>
            <w:tcBorders>
              <w:bottom w:val="single" w:sz="4" w:space="0" w:color="auto"/>
            </w:tcBorders>
            <w:tcMar>
              <w:top w:w="144" w:type="dxa"/>
              <w:left w:w="144" w:type="dxa"/>
              <w:bottom w:w="144" w:type="dxa"/>
              <w:right w:w="144" w:type="dxa"/>
            </w:tcMar>
            <w:vAlign w:val="center"/>
          </w:tcPr>
          <w:p w:rsidR="006D0990" w:rsidRPr="006D0990" w:rsidRDefault="006D0990" w:rsidP="008F0F70">
            <w:pPr>
              <w:tabs>
                <w:tab w:val="left" w:pos="578"/>
                <w:tab w:val="left" w:pos="3131"/>
                <w:tab w:val="left" w:pos="5607"/>
                <w:tab w:val="left" w:pos="8082"/>
              </w:tabs>
              <w:ind w:right="-25"/>
              <w:rPr>
                <w:rFonts w:ascii="Calibri" w:hAnsi="Calibri"/>
                <w:b/>
                <w:bCs/>
              </w:rPr>
            </w:pPr>
            <w:r w:rsidRPr="006D0990">
              <w:rPr>
                <w:rFonts w:ascii="Calibri" w:hAnsi="Calibri"/>
                <w:b/>
                <w:bCs/>
              </w:rPr>
              <w:t>Textbook</w:t>
            </w:r>
            <w:r w:rsidR="00E6038D">
              <w:rPr>
                <w:rFonts w:ascii="Calibri" w:hAnsi="Calibri"/>
                <w:b/>
                <w:bCs/>
              </w:rPr>
              <w:t>(s)</w:t>
            </w:r>
          </w:p>
        </w:tc>
        <w:tc>
          <w:tcPr>
            <w:tcW w:w="8730" w:type="dxa"/>
            <w:gridSpan w:val="3"/>
            <w:tcBorders>
              <w:bottom w:val="single" w:sz="4" w:space="0" w:color="auto"/>
            </w:tcBorders>
            <w:tcMar>
              <w:top w:w="144" w:type="dxa"/>
              <w:left w:w="144" w:type="dxa"/>
              <w:bottom w:w="144" w:type="dxa"/>
              <w:right w:w="144" w:type="dxa"/>
            </w:tcMar>
          </w:tcPr>
          <w:p w:rsidR="006F0D5B" w:rsidRPr="00CA41A6" w:rsidRDefault="006F0D5B" w:rsidP="006F0D5B">
            <w:pPr>
              <w:rPr>
                <w:rFonts w:ascii="Calibri" w:hAnsi="Calibri" w:cs="Arial"/>
                <w:b/>
              </w:rPr>
            </w:pPr>
            <w:r w:rsidRPr="00CA41A6">
              <w:rPr>
                <w:rFonts w:ascii="Calibri" w:hAnsi="Calibri" w:cs="Arial"/>
                <w:b/>
              </w:rPr>
              <w:t>Recommended Text:</w:t>
            </w:r>
          </w:p>
          <w:p w:rsidR="006D0990" w:rsidRPr="00CA41A6" w:rsidRDefault="00745E71" w:rsidP="006F0D5B">
            <w:pPr>
              <w:rPr>
                <w:rFonts w:ascii="Calibri" w:hAnsi="Calibri"/>
              </w:rPr>
            </w:pPr>
            <w:r w:rsidRPr="00CA41A6">
              <w:rPr>
                <w:rFonts w:ascii="Calibri" w:hAnsi="Calibri" w:cs="Arial"/>
                <w:lang w:val="tr-TR"/>
              </w:rPr>
              <w:t xml:space="preserve">Weir &amp; F.R., J. Hess,  Giordano. </w:t>
            </w:r>
            <w:r w:rsidRPr="00CA41A6">
              <w:rPr>
                <w:rStyle w:val="Emphasis"/>
                <w:rFonts w:ascii="Calibri" w:hAnsi="Calibri" w:cs="Arial"/>
                <w:lang w:val="tr-TR"/>
              </w:rPr>
              <w:t>Thomas' Calculus</w:t>
            </w:r>
            <w:r w:rsidRPr="00CA41A6">
              <w:rPr>
                <w:rFonts w:ascii="Calibri" w:hAnsi="Calibri" w:cs="Arial"/>
                <w:lang w:val="tr-TR"/>
              </w:rPr>
              <w:t>, Addison-Wesley, 11th edition.</w:t>
            </w:r>
          </w:p>
          <w:p w:rsidR="006F0D5B" w:rsidRPr="00CA41A6" w:rsidRDefault="00DE11B1" w:rsidP="006F0D5B">
            <w:pPr>
              <w:pStyle w:val="NormalWeb"/>
              <w:spacing w:before="0" w:beforeAutospacing="0" w:after="0" w:afterAutospacing="0"/>
              <w:jc w:val="both"/>
              <w:rPr>
                <w:rFonts w:ascii="Calibri" w:hAnsi="Calibri"/>
                <w:i/>
                <w:iCs/>
              </w:rPr>
            </w:pPr>
            <w:r w:rsidRPr="00CA41A6">
              <w:rPr>
                <w:rFonts w:ascii="Calibri" w:hAnsi="Calibri"/>
                <w:b/>
                <w:bCs/>
              </w:rPr>
              <w:t>Reference</w:t>
            </w:r>
            <w:r w:rsidR="00745E71" w:rsidRPr="00CA41A6">
              <w:rPr>
                <w:rFonts w:ascii="Calibri" w:hAnsi="Calibri"/>
                <w:b/>
                <w:bCs/>
              </w:rPr>
              <w:t xml:space="preserve"> Text</w:t>
            </w:r>
            <w:r w:rsidR="006F0D5B" w:rsidRPr="00CA41A6">
              <w:rPr>
                <w:rFonts w:ascii="Calibri" w:hAnsi="Calibri"/>
                <w:b/>
                <w:bCs/>
              </w:rPr>
              <w:t>:</w:t>
            </w:r>
          </w:p>
          <w:p w:rsidR="006D0990" w:rsidRPr="00CA41A6" w:rsidRDefault="00745E71" w:rsidP="006F0D5B">
            <w:pPr>
              <w:rPr>
                <w:rFonts w:ascii="Calibri" w:hAnsi="Calibri"/>
                <w:bCs/>
              </w:rPr>
            </w:pPr>
            <w:r w:rsidRPr="00CA41A6">
              <w:rPr>
                <w:rFonts w:ascii="Calibri" w:hAnsi="Calibri"/>
                <w:bCs/>
              </w:rPr>
              <w:t>Calculus by James Stewart, 5</w:t>
            </w:r>
            <w:r w:rsidRPr="00CA41A6">
              <w:rPr>
                <w:rFonts w:ascii="Calibri" w:hAnsi="Calibri"/>
                <w:bCs/>
                <w:vertAlign w:val="superscript"/>
              </w:rPr>
              <w:t>th</w:t>
            </w:r>
            <w:r w:rsidRPr="00CA41A6">
              <w:rPr>
                <w:rFonts w:ascii="Calibri" w:hAnsi="Calibri"/>
                <w:bCs/>
              </w:rPr>
              <w:t xml:space="preserve"> Edition.</w:t>
            </w:r>
          </w:p>
          <w:p w:rsidR="00CA41A6" w:rsidRPr="00CA41A6" w:rsidRDefault="00CA41A6" w:rsidP="00CA41A6">
            <w:pPr>
              <w:autoSpaceDE w:val="0"/>
              <w:autoSpaceDN w:val="0"/>
              <w:adjustRightInd w:val="0"/>
              <w:rPr>
                <w:rFonts w:ascii="Calibri" w:hAnsi="Calibri" w:cs="ArialMT"/>
              </w:rPr>
            </w:pPr>
            <w:r w:rsidRPr="00CA41A6">
              <w:rPr>
                <w:rFonts w:ascii="Calibri" w:hAnsi="Calibri" w:cs="ArialMT"/>
              </w:rPr>
              <w:t>Calculus and Analytical Geometry, Dr. S. M. Yusuf (Latest Edition)</w:t>
            </w:r>
          </w:p>
        </w:tc>
      </w:tr>
      <w:tr w:rsidR="006D0990" w:rsidRPr="006D0990" w:rsidTr="00325874">
        <w:trPr>
          <w:trHeight w:val="719"/>
        </w:trPr>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Calibri" w:hAnsi="Calibri"/>
                <w:b/>
              </w:rPr>
            </w:pPr>
            <w:r w:rsidRPr="006D0990">
              <w:rPr>
                <w:rFonts w:ascii="Calibri" w:hAnsi="Calibri"/>
                <w:b/>
              </w:rPr>
              <w:t>Grading Policy</w:t>
            </w:r>
          </w:p>
        </w:tc>
        <w:tc>
          <w:tcPr>
            <w:tcW w:w="8730" w:type="dxa"/>
            <w:gridSpan w:val="3"/>
            <w:tcBorders>
              <w:top w:val="single" w:sz="4" w:space="0" w:color="auto"/>
              <w:bottom w:val="double" w:sz="4" w:space="0" w:color="auto"/>
            </w:tcBorders>
            <w:tcMar>
              <w:top w:w="144" w:type="dxa"/>
              <w:left w:w="144" w:type="dxa"/>
              <w:bottom w:w="144" w:type="dxa"/>
              <w:right w:w="144" w:type="dxa"/>
            </w:tcMar>
          </w:tcPr>
          <w:p w:rsidR="00745E71" w:rsidRDefault="00745E71" w:rsidP="00D60339">
            <w:pPr>
              <w:rPr>
                <w:rFonts w:ascii="Calibri" w:hAnsi="Calibri"/>
              </w:rPr>
            </w:pPr>
            <w:r>
              <w:rPr>
                <w:rFonts w:ascii="Calibri" w:hAnsi="Calibri"/>
              </w:rPr>
              <w:t>Final Term: 50</w:t>
            </w:r>
            <w:r w:rsidR="006D0990" w:rsidRPr="006D0990">
              <w:rPr>
                <w:rFonts w:ascii="Calibri" w:hAnsi="Calibri"/>
              </w:rPr>
              <w:t>%</w:t>
            </w:r>
            <w:r>
              <w:rPr>
                <w:rFonts w:ascii="Calibri" w:hAnsi="Calibri"/>
              </w:rPr>
              <w:tab/>
            </w:r>
            <w:r>
              <w:rPr>
                <w:rFonts w:ascii="Calibri" w:hAnsi="Calibri"/>
              </w:rPr>
              <w:tab/>
            </w:r>
            <w:r>
              <w:rPr>
                <w:rFonts w:ascii="Calibri" w:hAnsi="Calibri"/>
              </w:rPr>
              <w:tab/>
            </w:r>
            <w:r w:rsidR="002131AF">
              <w:rPr>
                <w:rFonts w:ascii="Calibri" w:hAnsi="Calibri"/>
              </w:rPr>
              <w:tab/>
            </w:r>
            <w:r w:rsidR="000E7B1F">
              <w:rPr>
                <w:rFonts w:ascii="Calibri" w:hAnsi="Calibri"/>
              </w:rPr>
              <w:t>Mid Term:</w:t>
            </w:r>
            <w:r>
              <w:rPr>
                <w:rFonts w:ascii="Calibri" w:hAnsi="Calibri"/>
              </w:rPr>
              <w:t xml:space="preserve"> </w:t>
            </w:r>
            <w:r w:rsidR="000E7B1F">
              <w:rPr>
                <w:rFonts w:ascii="Calibri" w:hAnsi="Calibri"/>
              </w:rPr>
              <w:t>2</w:t>
            </w:r>
            <w:r>
              <w:rPr>
                <w:rFonts w:ascii="Calibri" w:hAnsi="Calibri"/>
              </w:rPr>
              <w:t>5</w:t>
            </w:r>
            <w:r w:rsidR="006D0990" w:rsidRPr="006D0990">
              <w:rPr>
                <w:rFonts w:ascii="Calibri" w:hAnsi="Calibri"/>
              </w:rPr>
              <w:t>%</w:t>
            </w:r>
            <w:r w:rsidR="000E7B1F">
              <w:rPr>
                <w:rFonts w:ascii="Calibri" w:hAnsi="Calibri"/>
              </w:rPr>
              <w:tab/>
            </w:r>
          </w:p>
          <w:p w:rsidR="006D0990" w:rsidRPr="006D0990" w:rsidRDefault="00745E71" w:rsidP="004C33E5">
            <w:pPr>
              <w:rPr>
                <w:rFonts w:ascii="Calibri" w:hAnsi="Calibri"/>
              </w:rPr>
            </w:pPr>
            <w:r>
              <w:rPr>
                <w:rFonts w:ascii="Calibri" w:hAnsi="Calibri"/>
              </w:rPr>
              <w:t>Class participation/presentation</w:t>
            </w:r>
            <w:r w:rsidR="004C33E5">
              <w:rPr>
                <w:rFonts w:ascii="Calibri" w:hAnsi="Calibri"/>
              </w:rPr>
              <w:t>s</w:t>
            </w:r>
            <w:r>
              <w:rPr>
                <w:rFonts w:ascii="Calibri" w:hAnsi="Calibri"/>
              </w:rPr>
              <w:t>: 5</w:t>
            </w:r>
            <w:r w:rsidR="000E7B1F">
              <w:rPr>
                <w:rFonts w:ascii="Calibri" w:hAnsi="Calibri"/>
              </w:rPr>
              <w:t>%</w:t>
            </w:r>
            <w:r>
              <w:rPr>
                <w:rFonts w:ascii="Calibri" w:hAnsi="Calibri"/>
              </w:rPr>
              <w:tab/>
            </w:r>
            <w:r w:rsidR="006D0990" w:rsidRPr="006D0990">
              <w:rPr>
                <w:rFonts w:ascii="Calibri" w:hAnsi="Calibri"/>
              </w:rPr>
              <w:t>Quizzes &amp; Assignments:</w:t>
            </w:r>
            <w:r>
              <w:rPr>
                <w:rFonts w:ascii="Calibri" w:hAnsi="Calibri"/>
              </w:rPr>
              <w:t xml:space="preserve"> 20</w:t>
            </w:r>
            <w:r w:rsidR="006D0990" w:rsidRPr="006D0990">
              <w:rPr>
                <w:rFonts w:ascii="Calibri" w:hAnsi="Calibri"/>
              </w:rPr>
              <w:t>%</w:t>
            </w:r>
            <w:r w:rsidR="002131AF">
              <w:rPr>
                <w:rFonts w:ascii="Calibri" w:hAnsi="Calibri"/>
              </w:rPr>
              <w:tab/>
            </w:r>
          </w:p>
        </w:tc>
      </w:tr>
    </w:tbl>
    <w:p w:rsidR="00574DD2" w:rsidRPr="006D0990" w:rsidRDefault="00574DD2" w:rsidP="00E56AEA">
      <w:pPr>
        <w:tabs>
          <w:tab w:val="left" w:pos="578"/>
          <w:tab w:val="left" w:pos="3131"/>
          <w:tab w:val="left" w:pos="5607"/>
          <w:tab w:val="left" w:pos="8082"/>
          <w:tab w:val="left" w:pos="9611"/>
        </w:tabs>
        <w:rPr>
          <w:rFonts w:ascii="Calibri" w:hAnsi="Calibri"/>
          <w:b/>
        </w:rPr>
      </w:pPr>
    </w:p>
    <w:p w:rsidR="00C62789" w:rsidRDefault="00C62789" w:rsidP="00E74F2B">
      <w:pPr>
        <w:tabs>
          <w:tab w:val="left" w:pos="578"/>
          <w:tab w:val="left" w:pos="3131"/>
          <w:tab w:val="left" w:pos="5607"/>
          <w:tab w:val="left" w:pos="8082"/>
          <w:tab w:val="left" w:pos="9611"/>
        </w:tabs>
        <w:jc w:val="center"/>
        <w:rPr>
          <w:rFonts w:ascii="Calibri" w:hAnsi="Calibri"/>
          <w:b/>
          <w:sz w:val="30"/>
        </w:rPr>
      </w:pPr>
    </w:p>
    <w:p w:rsidR="008A1634" w:rsidRDefault="008A1634" w:rsidP="00E74F2B">
      <w:pPr>
        <w:tabs>
          <w:tab w:val="left" w:pos="578"/>
          <w:tab w:val="left" w:pos="3131"/>
          <w:tab w:val="left" w:pos="5607"/>
          <w:tab w:val="left" w:pos="8082"/>
          <w:tab w:val="left" w:pos="9611"/>
        </w:tabs>
        <w:jc w:val="center"/>
        <w:rPr>
          <w:rFonts w:ascii="Calibri" w:hAnsi="Calibri"/>
          <w:b/>
          <w:sz w:val="30"/>
        </w:rPr>
      </w:pPr>
    </w:p>
    <w:p w:rsidR="008A1634" w:rsidRDefault="008A1634" w:rsidP="008B7B64">
      <w:pPr>
        <w:tabs>
          <w:tab w:val="left" w:pos="578"/>
          <w:tab w:val="left" w:pos="3131"/>
          <w:tab w:val="left" w:pos="5607"/>
          <w:tab w:val="left" w:pos="8082"/>
          <w:tab w:val="left" w:pos="9611"/>
        </w:tabs>
        <w:rPr>
          <w:rFonts w:ascii="Calibri" w:hAnsi="Calibri"/>
          <w:b/>
          <w:sz w:val="30"/>
        </w:rPr>
      </w:pPr>
    </w:p>
    <w:p w:rsidR="00966A88" w:rsidRDefault="00966A88" w:rsidP="00E74F2B">
      <w:pPr>
        <w:tabs>
          <w:tab w:val="left" w:pos="578"/>
          <w:tab w:val="left" w:pos="3131"/>
          <w:tab w:val="left" w:pos="5607"/>
          <w:tab w:val="left" w:pos="8082"/>
          <w:tab w:val="left" w:pos="9611"/>
        </w:tabs>
        <w:jc w:val="center"/>
        <w:rPr>
          <w:rFonts w:ascii="Calibri" w:hAnsi="Calibri"/>
          <w:b/>
          <w:sz w:val="30"/>
        </w:rPr>
      </w:pPr>
    </w:p>
    <w:p w:rsidR="009A12CE" w:rsidRPr="005F0197" w:rsidRDefault="00E74F2B" w:rsidP="00E74F2B">
      <w:pPr>
        <w:tabs>
          <w:tab w:val="left" w:pos="578"/>
          <w:tab w:val="left" w:pos="3131"/>
          <w:tab w:val="left" w:pos="5607"/>
          <w:tab w:val="left" w:pos="8082"/>
          <w:tab w:val="left" w:pos="9611"/>
        </w:tabs>
        <w:jc w:val="center"/>
        <w:rPr>
          <w:rFonts w:ascii="Calibri" w:hAnsi="Calibri"/>
          <w:b/>
          <w:sz w:val="30"/>
        </w:rPr>
      </w:pPr>
      <w:r w:rsidRPr="005F0197">
        <w:rPr>
          <w:rFonts w:ascii="Calibri" w:hAnsi="Calibri"/>
          <w:b/>
          <w:sz w:val="30"/>
        </w:rPr>
        <w:lastRenderedPageBreak/>
        <w:t>Course Schedule</w:t>
      </w:r>
    </w:p>
    <w:p w:rsidR="009A12CE" w:rsidRPr="006D0990" w:rsidRDefault="009A12CE" w:rsidP="00E56AEA">
      <w:pPr>
        <w:tabs>
          <w:tab w:val="left" w:pos="578"/>
          <w:tab w:val="left" w:pos="3131"/>
          <w:tab w:val="left" w:pos="5607"/>
          <w:tab w:val="left" w:pos="8082"/>
          <w:tab w:val="left" w:pos="9611"/>
        </w:tabs>
        <w:rPr>
          <w:rFonts w:ascii="Calibri" w:hAnsi="Calibri"/>
          <w:b/>
        </w:rPr>
      </w:pPr>
    </w:p>
    <w:tbl>
      <w:tblPr>
        <w:tblW w:w="9502" w:type="dxa"/>
        <w:jc w:val="center"/>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0"/>
        <w:gridCol w:w="8202"/>
      </w:tblGrid>
      <w:tr w:rsidR="00991A0C" w:rsidRPr="006D0990" w:rsidTr="00991A0C">
        <w:trPr>
          <w:jc w:val="center"/>
        </w:trPr>
        <w:tc>
          <w:tcPr>
            <w:tcW w:w="1300" w:type="dxa"/>
            <w:shd w:val="pct20" w:color="auto" w:fill="auto"/>
            <w:vAlign w:val="center"/>
          </w:tcPr>
          <w:p w:rsidR="00991A0C" w:rsidRPr="005F0197" w:rsidRDefault="00991A0C" w:rsidP="00661086">
            <w:pPr>
              <w:jc w:val="center"/>
              <w:rPr>
                <w:rFonts w:ascii="Calibri" w:hAnsi="Calibri"/>
                <w:b/>
                <w:sz w:val="28"/>
              </w:rPr>
            </w:pPr>
            <w:r w:rsidRPr="005F0197">
              <w:rPr>
                <w:rFonts w:ascii="Calibri" w:hAnsi="Calibri"/>
                <w:b/>
                <w:sz w:val="28"/>
              </w:rPr>
              <w:t>Lecture</w:t>
            </w:r>
          </w:p>
        </w:tc>
        <w:tc>
          <w:tcPr>
            <w:tcW w:w="8202" w:type="dxa"/>
            <w:shd w:val="pct20" w:color="auto" w:fill="auto"/>
            <w:vAlign w:val="center"/>
          </w:tcPr>
          <w:p w:rsidR="00991A0C" w:rsidRPr="005F0197" w:rsidRDefault="00991A0C" w:rsidP="00661086">
            <w:pPr>
              <w:jc w:val="center"/>
              <w:rPr>
                <w:rFonts w:ascii="Calibri" w:hAnsi="Calibri"/>
                <w:b/>
                <w:sz w:val="28"/>
              </w:rPr>
            </w:pPr>
            <w:r w:rsidRPr="005F0197">
              <w:rPr>
                <w:rFonts w:ascii="Calibri" w:hAnsi="Calibri"/>
                <w:b/>
                <w:sz w:val="28"/>
              </w:rPr>
              <w:t>Topics</w:t>
            </w:r>
          </w:p>
        </w:tc>
      </w:tr>
      <w:tr w:rsidR="00991A0C" w:rsidRPr="006D0990" w:rsidTr="00991A0C">
        <w:trPr>
          <w:jc w:val="center"/>
        </w:trPr>
        <w:tc>
          <w:tcPr>
            <w:tcW w:w="1300" w:type="dxa"/>
            <w:vAlign w:val="center"/>
          </w:tcPr>
          <w:p w:rsidR="00991A0C" w:rsidRPr="006D0990" w:rsidRDefault="00991A0C" w:rsidP="00661086">
            <w:pPr>
              <w:spacing w:line="360" w:lineRule="auto"/>
              <w:jc w:val="center"/>
              <w:rPr>
                <w:rFonts w:ascii="Calibri" w:hAnsi="Calibri"/>
              </w:rPr>
            </w:pPr>
            <w:r>
              <w:rPr>
                <w:rFonts w:ascii="Calibri" w:hAnsi="Calibri"/>
              </w:rPr>
              <w:t>1-3</w:t>
            </w:r>
          </w:p>
        </w:tc>
        <w:tc>
          <w:tcPr>
            <w:tcW w:w="8202" w:type="dxa"/>
            <w:vAlign w:val="center"/>
          </w:tcPr>
          <w:p w:rsidR="00991A0C" w:rsidRPr="006D0990" w:rsidRDefault="00991A0C" w:rsidP="00C30FB6">
            <w:pPr>
              <w:autoSpaceDE w:val="0"/>
              <w:autoSpaceDN w:val="0"/>
              <w:adjustRightInd w:val="0"/>
              <w:jc w:val="both"/>
              <w:rPr>
                <w:rFonts w:ascii="Calibri" w:hAnsi="Calibri"/>
              </w:rPr>
            </w:pPr>
            <w:r>
              <w:rPr>
                <w:rFonts w:ascii="ArialMT" w:hAnsi="ArialMT" w:cs="ArialMT"/>
              </w:rPr>
              <w:t>System of Real numbers, Solution of inequalities, Mathematical and physical meaning of functions, graphs of various functions, Piecewise functions, Even and Odd functions, Composition of functions Hyperbolic functions.</w:t>
            </w:r>
          </w:p>
        </w:tc>
      </w:tr>
      <w:tr w:rsidR="00991A0C" w:rsidRPr="006D0990" w:rsidTr="00991A0C">
        <w:trPr>
          <w:jc w:val="center"/>
        </w:trPr>
        <w:tc>
          <w:tcPr>
            <w:tcW w:w="1300" w:type="dxa"/>
            <w:vAlign w:val="center"/>
          </w:tcPr>
          <w:p w:rsidR="00991A0C" w:rsidRPr="006D0990" w:rsidRDefault="00991A0C" w:rsidP="00062C43">
            <w:pPr>
              <w:spacing w:line="360" w:lineRule="auto"/>
              <w:jc w:val="center"/>
              <w:rPr>
                <w:rFonts w:ascii="Calibri" w:hAnsi="Calibri"/>
              </w:rPr>
            </w:pPr>
            <w:r>
              <w:rPr>
                <w:rFonts w:ascii="Calibri" w:hAnsi="Calibri"/>
              </w:rPr>
              <w:t>4 – 6</w:t>
            </w:r>
          </w:p>
        </w:tc>
        <w:tc>
          <w:tcPr>
            <w:tcW w:w="8202" w:type="dxa"/>
            <w:vAlign w:val="center"/>
          </w:tcPr>
          <w:p w:rsidR="00991A0C" w:rsidRPr="00062C43" w:rsidRDefault="00991A0C" w:rsidP="003337C4">
            <w:pPr>
              <w:autoSpaceDE w:val="0"/>
              <w:autoSpaceDN w:val="0"/>
              <w:adjustRightInd w:val="0"/>
              <w:jc w:val="both"/>
              <w:rPr>
                <w:rFonts w:ascii="ArialMT" w:hAnsi="ArialMT" w:cs="ArialMT"/>
                <w:sz w:val="20"/>
                <w:szCs w:val="20"/>
              </w:rPr>
            </w:pPr>
            <w:r>
              <w:rPr>
                <w:rFonts w:ascii="ArialMT" w:hAnsi="ArialMT" w:cs="ArialMT"/>
              </w:rPr>
              <w:t xml:space="preserve">Theorems of limits and their applications to functions. Some useful limits, right hand and left hand limits. </w:t>
            </w:r>
          </w:p>
        </w:tc>
      </w:tr>
      <w:tr w:rsidR="00991A0C" w:rsidRPr="006D0990" w:rsidTr="00991A0C">
        <w:trPr>
          <w:jc w:val="center"/>
        </w:trPr>
        <w:tc>
          <w:tcPr>
            <w:tcW w:w="1300" w:type="dxa"/>
            <w:vAlign w:val="center"/>
          </w:tcPr>
          <w:p w:rsidR="00991A0C" w:rsidRPr="006D0990" w:rsidRDefault="00991A0C" w:rsidP="00062C43">
            <w:pPr>
              <w:spacing w:line="360" w:lineRule="auto"/>
              <w:jc w:val="center"/>
              <w:rPr>
                <w:rFonts w:ascii="Calibri" w:hAnsi="Calibri"/>
              </w:rPr>
            </w:pPr>
            <w:r>
              <w:rPr>
                <w:rFonts w:ascii="Calibri" w:hAnsi="Calibri"/>
              </w:rPr>
              <w:t>6 – 7</w:t>
            </w:r>
          </w:p>
        </w:tc>
        <w:tc>
          <w:tcPr>
            <w:tcW w:w="8202" w:type="dxa"/>
          </w:tcPr>
          <w:p w:rsidR="00991A0C" w:rsidRPr="00060AAB" w:rsidRDefault="00991A0C" w:rsidP="00C30FB6">
            <w:pPr>
              <w:autoSpaceDE w:val="0"/>
              <w:autoSpaceDN w:val="0"/>
              <w:adjustRightInd w:val="0"/>
              <w:jc w:val="both"/>
              <w:rPr>
                <w:rFonts w:ascii="ArialMT" w:hAnsi="ArialMT" w:cs="ArialMT"/>
              </w:rPr>
            </w:pPr>
            <w:r>
              <w:rPr>
                <w:rFonts w:ascii="ArialMT" w:hAnsi="ArialMT" w:cs="ArialMT"/>
              </w:rPr>
              <w:t>Continuous and discontinuous functions and their applications.</w:t>
            </w:r>
          </w:p>
        </w:tc>
      </w:tr>
      <w:tr w:rsidR="00991A0C" w:rsidRPr="006D0990" w:rsidTr="00991A0C">
        <w:trPr>
          <w:jc w:val="center"/>
        </w:trPr>
        <w:tc>
          <w:tcPr>
            <w:tcW w:w="1300" w:type="dxa"/>
            <w:vAlign w:val="center"/>
          </w:tcPr>
          <w:p w:rsidR="00991A0C" w:rsidRPr="006D0990" w:rsidRDefault="00991A0C" w:rsidP="00062C43">
            <w:pPr>
              <w:spacing w:line="360" w:lineRule="auto"/>
              <w:jc w:val="center"/>
              <w:rPr>
                <w:rFonts w:ascii="Calibri" w:hAnsi="Calibri"/>
              </w:rPr>
            </w:pPr>
            <w:r>
              <w:rPr>
                <w:rFonts w:ascii="Calibri" w:hAnsi="Calibri"/>
              </w:rPr>
              <w:t>8 – 10</w:t>
            </w:r>
          </w:p>
        </w:tc>
        <w:tc>
          <w:tcPr>
            <w:tcW w:w="8202" w:type="dxa"/>
          </w:tcPr>
          <w:p w:rsidR="00991A0C" w:rsidRPr="00060AAB" w:rsidRDefault="00991A0C" w:rsidP="003337C4">
            <w:pPr>
              <w:autoSpaceDE w:val="0"/>
              <w:autoSpaceDN w:val="0"/>
              <w:adjustRightInd w:val="0"/>
              <w:jc w:val="both"/>
              <w:rPr>
                <w:rFonts w:ascii="ArialMT" w:hAnsi="ArialMT" w:cs="ArialMT"/>
              </w:rPr>
            </w:pPr>
            <w:r>
              <w:rPr>
                <w:rFonts w:ascii="ArialMT" w:hAnsi="ArialMT" w:cs="ArialMT"/>
              </w:rPr>
              <w:t>Introduction to derivatives, Geometrical and physical meaning of derivatives, partial derivatives and their geometrical significance, application problems (rate of change, marginal analysis) maxima and minima of a function for single-variable (applied problems) differentials with applications.</w:t>
            </w:r>
          </w:p>
        </w:tc>
      </w:tr>
      <w:tr w:rsidR="00991A0C" w:rsidRPr="006D0990" w:rsidTr="00991A0C">
        <w:trPr>
          <w:jc w:val="center"/>
        </w:trPr>
        <w:tc>
          <w:tcPr>
            <w:tcW w:w="1300" w:type="dxa"/>
            <w:vAlign w:val="center"/>
          </w:tcPr>
          <w:p w:rsidR="00991A0C" w:rsidRPr="006D0990" w:rsidRDefault="00991A0C" w:rsidP="00062C43">
            <w:pPr>
              <w:spacing w:line="360" w:lineRule="auto"/>
              <w:jc w:val="center"/>
              <w:rPr>
                <w:rFonts w:ascii="Calibri" w:hAnsi="Calibri"/>
              </w:rPr>
            </w:pPr>
            <w:r>
              <w:rPr>
                <w:rFonts w:ascii="Calibri" w:hAnsi="Calibri"/>
              </w:rPr>
              <w:t>11 – 12</w:t>
            </w:r>
          </w:p>
        </w:tc>
        <w:tc>
          <w:tcPr>
            <w:tcW w:w="8202" w:type="dxa"/>
          </w:tcPr>
          <w:p w:rsidR="00991A0C" w:rsidRPr="00060AAB" w:rsidRDefault="00991A0C" w:rsidP="003337C4">
            <w:pPr>
              <w:autoSpaceDE w:val="0"/>
              <w:autoSpaceDN w:val="0"/>
              <w:adjustRightInd w:val="0"/>
              <w:jc w:val="both"/>
              <w:rPr>
                <w:rFonts w:ascii="ArialMT" w:hAnsi="ArialMT" w:cs="ArialMT"/>
              </w:rPr>
            </w:pPr>
            <w:r>
              <w:rPr>
                <w:rFonts w:ascii="ArialMT" w:hAnsi="ArialMT" w:cs="ArialMT"/>
              </w:rPr>
              <w:t xml:space="preserve">Leibnitz theorem, Roll’s theorem, Mean value theorem. Taylor’s and </w:t>
            </w:r>
            <w:proofErr w:type="spellStart"/>
            <w:r>
              <w:rPr>
                <w:rFonts w:ascii="ArialMT" w:hAnsi="ArialMT" w:cs="ArialMT"/>
              </w:rPr>
              <w:t>Maclaurin’s</w:t>
            </w:r>
            <w:proofErr w:type="spellEnd"/>
            <w:r>
              <w:rPr>
                <w:rFonts w:ascii="ArialMT" w:hAnsi="ArialMT" w:cs="ArialMT"/>
              </w:rPr>
              <w:t xml:space="preserve"> series, Indeterminate forms (0/0), (∞/∞) Asymptotes.</w:t>
            </w:r>
          </w:p>
        </w:tc>
      </w:tr>
      <w:tr w:rsidR="00991A0C" w:rsidRPr="006D0990" w:rsidTr="00991A0C">
        <w:trPr>
          <w:jc w:val="center"/>
        </w:trPr>
        <w:tc>
          <w:tcPr>
            <w:tcW w:w="1300" w:type="dxa"/>
            <w:vAlign w:val="center"/>
          </w:tcPr>
          <w:p w:rsidR="00991A0C" w:rsidRPr="006D0990" w:rsidRDefault="00991A0C" w:rsidP="00B8667A">
            <w:pPr>
              <w:spacing w:line="360" w:lineRule="auto"/>
              <w:jc w:val="center"/>
              <w:rPr>
                <w:rFonts w:ascii="Calibri" w:hAnsi="Calibri"/>
              </w:rPr>
            </w:pPr>
            <w:r>
              <w:rPr>
                <w:rFonts w:ascii="Calibri" w:hAnsi="Calibri"/>
              </w:rPr>
              <w:t>13 – 15</w:t>
            </w:r>
          </w:p>
        </w:tc>
        <w:tc>
          <w:tcPr>
            <w:tcW w:w="8202" w:type="dxa"/>
          </w:tcPr>
          <w:p w:rsidR="00991A0C" w:rsidRDefault="00991A0C" w:rsidP="00C30FB6">
            <w:pPr>
              <w:autoSpaceDE w:val="0"/>
              <w:autoSpaceDN w:val="0"/>
              <w:adjustRightInd w:val="0"/>
              <w:jc w:val="both"/>
              <w:rPr>
                <w:rFonts w:ascii="ArialMT" w:hAnsi="ArialMT" w:cs="ArialMT"/>
              </w:rPr>
            </w:pPr>
            <w:r>
              <w:rPr>
                <w:rFonts w:ascii="ArialMT" w:hAnsi="ArialMT" w:cs="ArialMT"/>
              </w:rPr>
              <w:t xml:space="preserve">Tangents and </w:t>
            </w:r>
            <w:proofErr w:type="spellStart"/>
            <w:r>
              <w:rPr>
                <w:rFonts w:ascii="ArialMT" w:hAnsi="ArialMT" w:cs="ArialMT"/>
              </w:rPr>
              <w:t>normals</w:t>
            </w:r>
            <w:proofErr w:type="spellEnd"/>
            <w:r>
              <w:rPr>
                <w:rFonts w:ascii="ArialMT" w:hAnsi="ArialMT" w:cs="ArialMT"/>
              </w:rPr>
              <w:t xml:space="preserve">, curvature and radius of curvature, </w:t>
            </w:r>
          </w:p>
          <w:p w:rsidR="00991A0C" w:rsidRPr="00060AAB" w:rsidRDefault="00991A0C" w:rsidP="00C30FB6">
            <w:pPr>
              <w:autoSpaceDE w:val="0"/>
              <w:autoSpaceDN w:val="0"/>
              <w:adjustRightInd w:val="0"/>
              <w:jc w:val="both"/>
              <w:rPr>
                <w:rFonts w:ascii="ArialMT" w:hAnsi="ArialMT" w:cs="ArialMT"/>
              </w:rPr>
            </w:pPr>
            <w:r>
              <w:rPr>
                <w:rFonts w:ascii="ArialMT" w:hAnsi="ArialMT" w:cs="ArialMT"/>
              </w:rPr>
              <w:t>Euler’s theorem, total differentials, maxima and minima of two variables.</w:t>
            </w:r>
          </w:p>
        </w:tc>
      </w:tr>
      <w:tr w:rsidR="00991A0C" w:rsidRPr="006D0990" w:rsidTr="00991A0C">
        <w:trPr>
          <w:jc w:val="center"/>
        </w:trPr>
        <w:tc>
          <w:tcPr>
            <w:tcW w:w="1300" w:type="dxa"/>
            <w:vAlign w:val="center"/>
          </w:tcPr>
          <w:p w:rsidR="00991A0C" w:rsidRPr="006D0990" w:rsidRDefault="00991A0C" w:rsidP="00082145">
            <w:pPr>
              <w:spacing w:line="360" w:lineRule="auto"/>
              <w:jc w:val="center"/>
              <w:rPr>
                <w:rFonts w:ascii="Calibri" w:hAnsi="Calibri"/>
              </w:rPr>
            </w:pPr>
            <w:r>
              <w:rPr>
                <w:rFonts w:ascii="Calibri" w:hAnsi="Calibri"/>
              </w:rPr>
              <w:t>16 – 18</w:t>
            </w:r>
          </w:p>
        </w:tc>
        <w:tc>
          <w:tcPr>
            <w:tcW w:w="8202" w:type="dxa"/>
            <w:vAlign w:val="center"/>
          </w:tcPr>
          <w:p w:rsidR="00991A0C" w:rsidRPr="006D0990" w:rsidRDefault="00991A0C" w:rsidP="003337C4">
            <w:pPr>
              <w:autoSpaceDE w:val="0"/>
              <w:autoSpaceDN w:val="0"/>
              <w:adjustRightInd w:val="0"/>
              <w:jc w:val="both"/>
              <w:rPr>
                <w:rFonts w:ascii="Calibri" w:hAnsi="Calibri"/>
              </w:rPr>
            </w:pPr>
            <w:r>
              <w:rPr>
                <w:rFonts w:ascii="ArialMT" w:hAnsi="ArialMT" w:cs="ArialMT"/>
              </w:rPr>
              <w:t>Methods of integration by substitutions and by parts, integration of rational and irrational algebraic functions.</w:t>
            </w:r>
          </w:p>
        </w:tc>
      </w:tr>
      <w:tr w:rsidR="00991A0C" w:rsidRPr="006D0990" w:rsidTr="00991A0C">
        <w:trPr>
          <w:jc w:val="center"/>
        </w:trPr>
        <w:tc>
          <w:tcPr>
            <w:tcW w:w="1300" w:type="dxa"/>
            <w:vAlign w:val="center"/>
          </w:tcPr>
          <w:p w:rsidR="00991A0C" w:rsidRPr="006D0990" w:rsidRDefault="00991A0C" w:rsidP="00F249C0">
            <w:pPr>
              <w:spacing w:line="360" w:lineRule="auto"/>
              <w:jc w:val="center"/>
              <w:rPr>
                <w:rFonts w:ascii="Calibri" w:hAnsi="Calibri"/>
              </w:rPr>
            </w:pPr>
            <w:r>
              <w:rPr>
                <w:rFonts w:ascii="Calibri" w:hAnsi="Calibri"/>
              </w:rPr>
              <w:t>19 -21</w:t>
            </w:r>
          </w:p>
        </w:tc>
        <w:tc>
          <w:tcPr>
            <w:tcW w:w="8202" w:type="dxa"/>
            <w:vAlign w:val="center"/>
          </w:tcPr>
          <w:p w:rsidR="00991A0C" w:rsidRPr="006D0990" w:rsidRDefault="00991A0C" w:rsidP="00C30FB6">
            <w:pPr>
              <w:autoSpaceDE w:val="0"/>
              <w:autoSpaceDN w:val="0"/>
              <w:adjustRightInd w:val="0"/>
              <w:jc w:val="both"/>
              <w:rPr>
                <w:rFonts w:ascii="Calibri" w:hAnsi="Calibri"/>
              </w:rPr>
            </w:pPr>
            <w:r>
              <w:rPr>
                <w:rFonts w:ascii="ArialMT" w:hAnsi="ArialMT" w:cs="ArialMT"/>
              </w:rPr>
              <w:t>Definite integrals, improper integrals, Gamma and Beta functions.</w:t>
            </w:r>
          </w:p>
        </w:tc>
      </w:tr>
      <w:tr w:rsidR="00991A0C" w:rsidRPr="006D0990" w:rsidTr="00991A0C">
        <w:trPr>
          <w:jc w:val="center"/>
        </w:trPr>
        <w:tc>
          <w:tcPr>
            <w:tcW w:w="1300" w:type="dxa"/>
            <w:vAlign w:val="center"/>
          </w:tcPr>
          <w:p w:rsidR="00991A0C" w:rsidRDefault="00991A0C" w:rsidP="00B8667A">
            <w:pPr>
              <w:spacing w:line="360" w:lineRule="auto"/>
              <w:jc w:val="center"/>
              <w:rPr>
                <w:rFonts w:ascii="Calibri" w:hAnsi="Calibri"/>
              </w:rPr>
            </w:pPr>
            <w:r>
              <w:rPr>
                <w:rFonts w:ascii="Calibri" w:hAnsi="Calibri"/>
              </w:rPr>
              <w:t>22</w:t>
            </w:r>
          </w:p>
        </w:tc>
        <w:tc>
          <w:tcPr>
            <w:tcW w:w="8202" w:type="dxa"/>
            <w:vAlign w:val="center"/>
          </w:tcPr>
          <w:p w:rsidR="00991A0C" w:rsidRDefault="00991A0C" w:rsidP="00F249C0">
            <w:pPr>
              <w:autoSpaceDE w:val="0"/>
              <w:autoSpaceDN w:val="0"/>
              <w:adjustRightInd w:val="0"/>
              <w:jc w:val="center"/>
              <w:rPr>
                <w:rFonts w:ascii="ArialMT" w:hAnsi="ArialMT" w:cs="ArialMT"/>
              </w:rPr>
            </w:pPr>
            <w:r w:rsidRPr="00C62789">
              <w:rPr>
                <w:rFonts w:ascii="Calibri" w:hAnsi="Calibri"/>
                <w:b/>
                <w:sz w:val="28"/>
              </w:rPr>
              <w:t>Mid Term Exam</w:t>
            </w:r>
            <w:r>
              <w:rPr>
                <w:rFonts w:ascii="Calibri" w:hAnsi="Calibri"/>
                <w:b/>
                <w:sz w:val="28"/>
              </w:rPr>
              <w:t xml:space="preserve"> (8</w:t>
            </w:r>
            <w:r w:rsidRPr="00C62789">
              <w:rPr>
                <w:rFonts w:ascii="Calibri" w:hAnsi="Calibri"/>
                <w:b/>
                <w:sz w:val="28"/>
                <w:vertAlign w:val="superscript"/>
              </w:rPr>
              <w:t>th</w:t>
            </w:r>
            <w:r>
              <w:rPr>
                <w:rFonts w:ascii="Calibri" w:hAnsi="Calibri"/>
                <w:b/>
                <w:sz w:val="28"/>
                <w:vertAlign w:val="superscript"/>
              </w:rPr>
              <w:t xml:space="preserve"> </w:t>
            </w:r>
            <w:r>
              <w:rPr>
                <w:rFonts w:ascii="Calibri" w:hAnsi="Calibri"/>
                <w:b/>
                <w:sz w:val="28"/>
              </w:rPr>
              <w:t>Week)</w:t>
            </w:r>
          </w:p>
        </w:tc>
      </w:tr>
      <w:tr w:rsidR="00991A0C" w:rsidRPr="006D0990" w:rsidTr="00991A0C">
        <w:trPr>
          <w:jc w:val="center"/>
        </w:trPr>
        <w:tc>
          <w:tcPr>
            <w:tcW w:w="1300" w:type="dxa"/>
            <w:vAlign w:val="center"/>
          </w:tcPr>
          <w:p w:rsidR="00991A0C" w:rsidRPr="006D0990" w:rsidRDefault="00991A0C" w:rsidP="00661086">
            <w:pPr>
              <w:spacing w:line="360" w:lineRule="auto"/>
              <w:jc w:val="center"/>
              <w:rPr>
                <w:rFonts w:ascii="Calibri" w:hAnsi="Calibri"/>
              </w:rPr>
            </w:pPr>
            <w:r>
              <w:rPr>
                <w:rFonts w:ascii="Calibri" w:hAnsi="Calibri"/>
              </w:rPr>
              <w:t>23</w:t>
            </w:r>
          </w:p>
        </w:tc>
        <w:tc>
          <w:tcPr>
            <w:tcW w:w="8202" w:type="dxa"/>
            <w:vAlign w:val="center"/>
          </w:tcPr>
          <w:p w:rsidR="00991A0C" w:rsidRPr="006D0990" w:rsidRDefault="00991A0C" w:rsidP="00C30FB6">
            <w:pPr>
              <w:autoSpaceDE w:val="0"/>
              <w:autoSpaceDN w:val="0"/>
              <w:adjustRightInd w:val="0"/>
              <w:jc w:val="both"/>
              <w:rPr>
                <w:rFonts w:ascii="Calibri" w:hAnsi="Calibri"/>
              </w:rPr>
            </w:pPr>
            <w:r>
              <w:rPr>
                <w:rFonts w:ascii="ArialMT" w:hAnsi="ArialMT" w:cs="ArialMT"/>
              </w:rPr>
              <w:t>Reduction formulae, Cost function from marginal cost, rocket flights, area under curve.</w:t>
            </w:r>
          </w:p>
        </w:tc>
      </w:tr>
      <w:tr w:rsidR="00991A0C" w:rsidRPr="006D0990" w:rsidTr="00991A0C">
        <w:trPr>
          <w:jc w:val="center"/>
        </w:trPr>
        <w:tc>
          <w:tcPr>
            <w:tcW w:w="1300" w:type="dxa"/>
            <w:vAlign w:val="center"/>
          </w:tcPr>
          <w:p w:rsidR="00991A0C" w:rsidRPr="006D0990" w:rsidRDefault="00991A0C" w:rsidP="00B8667A">
            <w:pPr>
              <w:spacing w:line="360" w:lineRule="auto"/>
              <w:jc w:val="center"/>
              <w:rPr>
                <w:rFonts w:ascii="Calibri" w:hAnsi="Calibri"/>
              </w:rPr>
            </w:pPr>
            <w:r>
              <w:rPr>
                <w:rFonts w:ascii="Calibri" w:hAnsi="Calibri"/>
              </w:rPr>
              <w:t>24-25</w:t>
            </w:r>
          </w:p>
        </w:tc>
        <w:tc>
          <w:tcPr>
            <w:tcW w:w="8202" w:type="dxa"/>
            <w:vAlign w:val="center"/>
          </w:tcPr>
          <w:p w:rsidR="00991A0C" w:rsidRPr="00B8667A" w:rsidRDefault="00991A0C" w:rsidP="00C30FB6">
            <w:pPr>
              <w:autoSpaceDE w:val="0"/>
              <w:autoSpaceDN w:val="0"/>
              <w:adjustRightInd w:val="0"/>
              <w:jc w:val="both"/>
              <w:rPr>
                <w:rFonts w:ascii="ArialMT" w:hAnsi="ArialMT" w:cs="ArialMT"/>
              </w:rPr>
            </w:pPr>
            <w:r>
              <w:rPr>
                <w:rFonts w:ascii="ArialMT" w:hAnsi="ArialMT" w:cs="ArialMT"/>
              </w:rPr>
              <w:t>Introduction to vectors, scalar and vector product of three and four vectors, volume of parallelepiped and tetrahedron.</w:t>
            </w:r>
          </w:p>
        </w:tc>
      </w:tr>
      <w:tr w:rsidR="00991A0C" w:rsidRPr="006D0990" w:rsidTr="00991A0C">
        <w:trPr>
          <w:jc w:val="center"/>
        </w:trPr>
        <w:tc>
          <w:tcPr>
            <w:tcW w:w="1300" w:type="dxa"/>
            <w:vAlign w:val="center"/>
          </w:tcPr>
          <w:p w:rsidR="00991A0C" w:rsidRPr="006D0990" w:rsidRDefault="00991A0C" w:rsidP="00B8667A">
            <w:pPr>
              <w:spacing w:line="360" w:lineRule="auto"/>
              <w:jc w:val="center"/>
              <w:rPr>
                <w:rFonts w:ascii="Calibri" w:hAnsi="Calibri"/>
              </w:rPr>
            </w:pPr>
            <w:r>
              <w:rPr>
                <w:rFonts w:ascii="Calibri" w:hAnsi="Calibri"/>
              </w:rPr>
              <w:t>26 – 27</w:t>
            </w:r>
          </w:p>
        </w:tc>
        <w:tc>
          <w:tcPr>
            <w:tcW w:w="8202" w:type="dxa"/>
            <w:vAlign w:val="center"/>
          </w:tcPr>
          <w:p w:rsidR="00991A0C" w:rsidRDefault="00991A0C" w:rsidP="003337C4">
            <w:pPr>
              <w:autoSpaceDE w:val="0"/>
              <w:autoSpaceDN w:val="0"/>
              <w:adjustRightInd w:val="0"/>
              <w:jc w:val="both"/>
              <w:rPr>
                <w:rFonts w:ascii="Calibri" w:hAnsi="Calibri"/>
              </w:rPr>
            </w:pPr>
            <w:r>
              <w:rPr>
                <w:rFonts w:ascii="ArialMT" w:hAnsi="ArialMT" w:cs="ArialMT"/>
              </w:rPr>
              <w:t>Vector differentiation, vector integration and their applications, operator.</w:t>
            </w:r>
          </w:p>
        </w:tc>
      </w:tr>
      <w:tr w:rsidR="00991A0C" w:rsidRPr="006D0990" w:rsidTr="00991A0C">
        <w:trPr>
          <w:jc w:val="center"/>
        </w:trPr>
        <w:tc>
          <w:tcPr>
            <w:tcW w:w="1300" w:type="dxa"/>
            <w:vAlign w:val="center"/>
          </w:tcPr>
          <w:p w:rsidR="00991A0C" w:rsidRPr="006D0990" w:rsidRDefault="00991A0C" w:rsidP="00B8667A">
            <w:pPr>
              <w:spacing w:line="360" w:lineRule="auto"/>
              <w:jc w:val="center"/>
              <w:rPr>
                <w:rFonts w:ascii="Calibri" w:hAnsi="Calibri"/>
              </w:rPr>
            </w:pPr>
            <w:r>
              <w:rPr>
                <w:rFonts w:ascii="Calibri" w:hAnsi="Calibri"/>
              </w:rPr>
              <w:t>28 – 30</w:t>
            </w:r>
          </w:p>
        </w:tc>
        <w:tc>
          <w:tcPr>
            <w:tcW w:w="8202" w:type="dxa"/>
            <w:vAlign w:val="center"/>
          </w:tcPr>
          <w:p w:rsidR="00991A0C" w:rsidRPr="00015B4E" w:rsidRDefault="00991A0C" w:rsidP="003337C4">
            <w:pPr>
              <w:autoSpaceDE w:val="0"/>
              <w:autoSpaceDN w:val="0"/>
              <w:adjustRightInd w:val="0"/>
              <w:jc w:val="both"/>
              <w:rPr>
                <w:rFonts w:ascii="ArialMT" w:hAnsi="ArialMT" w:cs="ArialMT"/>
              </w:rPr>
            </w:pPr>
            <w:r>
              <w:rPr>
                <w:rFonts w:ascii="ArialMT" w:hAnsi="ArialMT" w:cs="ArialMT"/>
              </w:rPr>
              <w:t>Gradient, divergence and curl with their applications. C</w:t>
            </w:r>
            <w:r w:rsidRPr="00060AAB">
              <w:rPr>
                <w:rFonts w:ascii="ArialMT" w:hAnsi="ArialMT" w:cs="ArialMT"/>
              </w:rPr>
              <w:t>ontinuous and discontinuous functions and their applications</w:t>
            </w:r>
          </w:p>
        </w:tc>
      </w:tr>
      <w:tr w:rsidR="00991A0C" w:rsidRPr="006D0990" w:rsidTr="00991A0C">
        <w:trPr>
          <w:jc w:val="center"/>
        </w:trPr>
        <w:tc>
          <w:tcPr>
            <w:tcW w:w="1300" w:type="dxa"/>
            <w:vAlign w:val="center"/>
          </w:tcPr>
          <w:p w:rsidR="00991A0C" w:rsidRDefault="00991A0C" w:rsidP="00B8667A">
            <w:pPr>
              <w:spacing w:line="360" w:lineRule="auto"/>
              <w:jc w:val="center"/>
              <w:rPr>
                <w:rFonts w:ascii="Calibri" w:hAnsi="Calibri"/>
              </w:rPr>
            </w:pPr>
            <w:r>
              <w:rPr>
                <w:rFonts w:ascii="Calibri" w:hAnsi="Calibri"/>
              </w:rPr>
              <w:t>31-33</w:t>
            </w:r>
          </w:p>
        </w:tc>
        <w:tc>
          <w:tcPr>
            <w:tcW w:w="8202" w:type="dxa"/>
            <w:vAlign w:val="center"/>
          </w:tcPr>
          <w:p w:rsidR="00991A0C" w:rsidRDefault="00991A0C" w:rsidP="00C30FB6">
            <w:pPr>
              <w:autoSpaceDE w:val="0"/>
              <w:autoSpaceDN w:val="0"/>
              <w:adjustRightInd w:val="0"/>
              <w:jc w:val="both"/>
              <w:rPr>
                <w:rFonts w:ascii="ArialMT" w:hAnsi="ArialMT" w:cs="ArialMT"/>
              </w:rPr>
            </w:pPr>
            <w:r>
              <w:rPr>
                <w:rFonts w:ascii="ArialMT" w:hAnsi="ArialMT" w:cs="ArialMT"/>
              </w:rPr>
              <w:t>Definition, double integral as volume, evaluation of double integral.</w:t>
            </w:r>
          </w:p>
        </w:tc>
      </w:tr>
      <w:tr w:rsidR="00991A0C" w:rsidRPr="006D0990" w:rsidTr="00991A0C">
        <w:trPr>
          <w:jc w:val="center"/>
        </w:trPr>
        <w:tc>
          <w:tcPr>
            <w:tcW w:w="1300" w:type="dxa"/>
            <w:vAlign w:val="center"/>
          </w:tcPr>
          <w:p w:rsidR="00991A0C" w:rsidRDefault="00991A0C" w:rsidP="00B8667A">
            <w:pPr>
              <w:spacing w:line="360" w:lineRule="auto"/>
              <w:jc w:val="center"/>
              <w:rPr>
                <w:rFonts w:ascii="Calibri" w:hAnsi="Calibri"/>
              </w:rPr>
            </w:pPr>
            <w:r>
              <w:rPr>
                <w:rFonts w:ascii="Calibri" w:hAnsi="Calibri"/>
              </w:rPr>
              <w:t>34</w:t>
            </w:r>
          </w:p>
        </w:tc>
        <w:tc>
          <w:tcPr>
            <w:tcW w:w="8202" w:type="dxa"/>
            <w:vAlign w:val="center"/>
          </w:tcPr>
          <w:p w:rsidR="00991A0C" w:rsidRDefault="00991A0C" w:rsidP="00C30FB6">
            <w:pPr>
              <w:autoSpaceDE w:val="0"/>
              <w:autoSpaceDN w:val="0"/>
              <w:adjustRightInd w:val="0"/>
              <w:jc w:val="both"/>
              <w:rPr>
                <w:rFonts w:ascii="ArialMT" w:hAnsi="ArialMT" w:cs="ArialMT"/>
              </w:rPr>
            </w:pPr>
            <w:r>
              <w:rPr>
                <w:rFonts w:ascii="ArialMT" w:hAnsi="ArialMT" w:cs="ArialMT"/>
              </w:rPr>
              <w:t>Change of order of integration</w:t>
            </w:r>
          </w:p>
        </w:tc>
      </w:tr>
      <w:tr w:rsidR="00991A0C" w:rsidRPr="006D0990" w:rsidTr="00991A0C">
        <w:trPr>
          <w:jc w:val="center"/>
        </w:trPr>
        <w:tc>
          <w:tcPr>
            <w:tcW w:w="1300" w:type="dxa"/>
            <w:vAlign w:val="center"/>
          </w:tcPr>
          <w:p w:rsidR="00991A0C" w:rsidRDefault="00991A0C" w:rsidP="0055164B">
            <w:pPr>
              <w:spacing w:line="360" w:lineRule="auto"/>
              <w:jc w:val="center"/>
              <w:rPr>
                <w:rFonts w:ascii="Calibri" w:hAnsi="Calibri"/>
              </w:rPr>
            </w:pPr>
            <w:r>
              <w:rPr>
                <w:rFonts w:ascii="Calibri" w:hAnsi="Calibri"/>
              </w:rPr>
              <w:t>35-40</w:t>
            </w:r>
          </w:p>
        </w:tc>
        <w:tc>
          <w:tcPr>
            <w:tcW w:w="8202" w:type="dxa"/>
            <w:vAlign w:val="center"/>
          </w:tcPr>
          <w:p w:rsidR="00991A0C" w:rsidRDefault="00991A0C" w:rsidP="00C30FB6">
            <w:pPr>
              <w:autoSpaceDE w:val="0"/>
              <w:autoSpaceDN w:val="0"/>
              <w:adjustRightInd w:val="0"/>
              <w:jc w:val="both"/>
              <w:rPr>
                <w:rFonts w:ascii="ArialMT" w:hAnsi="ArialMT" w:cs="ArialMT"/>
              </w:rPr>
            </w:pPr>
            <w:r>
              <w:rPr>
                <w:rFonts w:ascii="ArialMT" w:hAnsi="ArialMT" w:cs="ArialMT"/>
              </w:rPr>
              <w:t>Application of double integrals, area, mass of an element, moment of inertia, and centre of gravity.</w:t>
            </w:r>
          </w:p>
        </w:tc>
      </w:tr>
      <w:tr w:rsidR="00991A0C" w:rsidRPr="006D0990" w:rsidTr="00991A0C">
        <w:trPr>
          <w:jc w:val="center"/>
        </w:trPr>
        <w:tc>
          <w:tcPr>
            <w:tcW w:w="1300" w:type="dxa"/>
            <w:vAlign w:val="center"/>
          </w:tcPr>
          <w:p w:rsidR="00991A0C" w:rsidRDefault="00991A0C" w:rsidP="00B8667A">
            <w:pPr>
              <w:spacing w:line="360" w:lineRule="auto"/>
              <w:jc w:val="center"/>
              <w:rPr>
                <w:rFonts w:ascii="Calibri" w:hAnsi="Calibri"/>
              </w:rPr>
            </w:pPr>
            <w:r>
              <w:rPr>
                <w:rFonts w:ascii="Calibri" w:hAnsi="Calibri"/>
              </w:rPr>
              <w:t>41</w:t>
            </w:r>
          </w:p>
        </w:tc>
        <w:tc>
          <w:tcPr>
            <w:tcW w:w="8202" w:type="dxa"/>
            <w:vAlign w:val="center"/>
          </w:tcPr>
          <w:p w:rsidR="00991A0C" w:rsidRDefault="00991A0C" w:rsidP="00C30FB6">
            <w:pPr>
              <w:autoSpaceDE w:val="0"/>
              <w:autoSpaceDN w:val="0"/>
              <w:adjustRightInd w:val="0"/>
              <w:jc w:val="both"/>
              <w:rPr>
                <w:rFonts w:ascii="ArialMT" w:hAnsi="ArialMT" w:cs="ArialMT"/>
              </w:rPr>
            </w:pPr>
            <w:r>
              <w:rPr>
                <w:rFonts w:ascii="ArialMT" w:hAnsi="ArialMT" w:cs="ArialMT"/>
              </w:rPr>
              <w:t>Triple integrals, evaluation of triple integrals.</w:t>
            </w:r>
          </w:p>
        </w:tc>
      </w:tr>
      <w:tr w:rsidR="00991A0C" w:rsidRPr="006D0990" w:rsidTr="00991A0C">
        <w:trPr>
          <w:jc w:val="center"/>
        </w:trPr>
        <w:tc>
          <w:tcPr>
            <w:tcW w:w="1300" w:type="dxa"/>
            <w:vAlign w:val="center"/>
          </w:tcPr>
          <w:p w:rsidR="00991A0C" w:rsidRDefault="00991A0C" w:rsidP="00943459">
            <w:pPr>
              <w:spacing w:line="360" w:lineRule="auto"/>
              <w:jc w:val="center"/>
              <w:rPr>
                <w:rFonts w:ascii="Calibri" w:hAnsi="Calibri"/>
              </w:rPr>
            </w:pPr>
            <w:r>
              <w:rPr>
                <w:rFonts w:ascii="Calibri" w:hAnsi="Calibri"/>
              </w:rPr>
              <w:t>42-45</w:t>
            </w:r>
          </w:p>
        </w:tc>
        <w:tc>
          <w:tcPr>
            <w:tcW w:w="8202" w:type="dxa"/>
            <w:vAlign w:val="center"/>
          </w:tcPr>
          <w:p w:rsidR="00991A0C" w:rsidRDefault="00991A0C" w:rsidP="00C30FB6">
            <w:pPr>
              <w:autoSpaceDE w:val="0"/>
              <w:autoSpaceDN w:val="0"/>
              <w:adjustRightInd w:val="0"/>
              <w:jc w:val="both"/>
              <w:rPr>
                <w:rFonts w:ascii="ArialMT" w:hAnsi="ArialMT" w:cs="ArialMT"/>
              </w:rPr>
            </w:pPr>
            <w:r>
              <w:rPr>
                <w:rFonts w:ascii="ArialMT" w:hAnsi="ArialMT" w:cs="ArialMT"/>
              </w:rPr>
              <w:t>Application of triple integrals, volume, mass of an element, centre of gravity, moment of inertia by triple integrals, triple integration in cylindrical and spherical coordinates.</w:t>
            </w:r>
          </w:p>
        </w:tc>
      </w:tr>
    </w:tbl>
    <w:p w:rsidR="005D5C20" w:rsidRPr="006D0990" w:rsidRDefault="005D5C20" w:rsidP="00D7281C">
      <w:pPr>
        <w:tabs>
          <w:tab w:val="left" w:pos="578"/>
          <w:tab w:val="left" w:pos="3131"/>
          <w:tab w:val="left" w:pos="5607"/>
          <w:tab w:val="left" w:pos="8082"/>
          <w:tab w:val="left" w:pos="9611"/>
        </w:tabs>
        <w:rPr>
          <w:rFonts w:ascii="Calibri" w:hAnsi="Calibri"/>
          <w:b/>
        </w:rPr>
      </w:pPr>
    </w:p>
    <w:sectPr w:rsidR="005D5C20" w:rsidRPr="006D0990" w:rsidSect="00814172">
      <w:pgSz w:w="11909" w:h="16834" w:code="9"/>
      <w:pgMar w:top="187" w:right="1152" w:bottom="432" w:left="115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6"/>
  </w:num>
  <w:num w:numId="2">
    <w:abstractNumId w:val="16"/>
  </w:num>
  <w:num w:numId="3">
    <w:abstractNumId w:val="11"/>
  </w:num>
  <w:num w:numId="4">
    <w:abstractNumId w:val="19"/>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7"/>
  </w:num>
  <w:num w:numId="18">
    <w:abstractNumId w:val="23"/>
  </w:num>
  <w:num w:numId="19">
    <w:abstractNumId w:val="10"/>
  </w:num>
  <w:num w:numId="20">
    <w:abstractNumId w:val="28"/>
  </w:num>
  <w:num w:numId="21">
    <w:abstractNumId w:val="21"/>
  </w:num>
  <w:num w:numId="22">
    <w:abstractNumId w:val="20"/>
  </w:num>
  <w:num w:numId="23">
    <w:abstractNumId w:val="25"/>
  </w:num>
  <w:num w:numId="24">
    <w:abstractNumId w:val="18"/>
  </w:num>
  <w:num w:numId="25">
    <w:abstractNumId w:val="12"/>
  </w:num>
  <w:num w:numId="26">
    <w:abstractNumId w:val="22"/>
  </w:num>
  <w:num w:numId="27">
    <w:abstractNumId w:val="27"/>
  </w:num>
  <w:num w:numId="28">
    <w:abstractNumId w:val="14"/>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noPunctuationKerning/>
  <w:characterSpacingControl w:val="doNotCompress"/>
  <w:compat/>
  <w:rsids>
    <w:rsidRoot w:val="00081A86"/>
    <w:rsid w:val="000030BC"/>
    <w:rsid w:val="0000609F"/>
    <w:rsid w:val="00012B3A"/>
    <w:rsid w:val="00015B4E"/>
    <w:rsid w:val="000175D7"/>
    <w:rsid w:val="000439CD"/>
    <w:rsid w:val="000461AD"/>
    <w:rsid w:val="000620D6"/>
    <w:rsid w:val="00062C43"/>
    <w:rsid w:val="00070254"/>
    <w:rsid w:val="00074041"/>
    <w:rsid w:val="00081A86"/>
    <w:rsid w:val="00082145"/>
    <w:rsid w:val="00087BB9"/>
    <w:rsid w:val="00090690"/>
    <w:rsid w:val="00093673"/>
    <w:rsid w:val="000A47F9"/>
    <w:rsid w:val="000A6D3C"/>
    <w:rsid w:val="000D45F8"/>
    <w:rsid w:val="000D6E6A"/>
    <w:rsid w:val="000E2B4F"/>
    <w:rsid w:val="000E3867"/>
    <w:rsid w:val="000E7B1F"/>
    <w:rsid w:val="000F4176"/>
    <w:rsid w:val="000F5FD1"/>
    <w:rsid w:val="00107D7C"/>
    <w:rsid w:val="00110D5B"/>
    <w:rsid w:val="00131CCE"/>
    <w:rsid w:val="001354B1"/>
    <w:rsid w:val="00147B3D"/>
    <w:rsid w:val="00154553"/>
    <w:rsid w:val="00196017"/>
    <w:rsid w:val="001C0C83"/>
    <w:rsid w:val="001D3A4A"/>
    <w:rsid w:val="001E5E99"/>
    <w:rsid w:val="001E7672"/>
    <w:rsid w:val="001F76BA"/>
    <w:rsid w:val="00203455"/>
    <w:rsid w:val="00203D0D"/>
    <w:rsid w:val="002131AF"/>
    <w:rsid w:val="00237A0F"/>
    <w:rsid w:val="00260125"/>
    <w:rsid w:val="00264389"/>
    <w:rsid w:val="002834EF"/>
    <w:rsid w:val="00284452"/>
    <w:rsid w:val="002B642B"/>
    <w:rsid w:val="002D3F87"/>
    <w:rsid w:val="002D5D54"/>
    <w:rsid w:val="002F511F"/>
    <w:rsid w:val="00303432"/>
    <w:rsid w:val="0030494C"/>
    <w:rsid w:val="00323D40"/>
    <w:rsid w:val="00325874"/>
    <w:rsid w:val="003337C4"/>
    <w:rsid w:val="00334507"/>
    <w:rsid w:val="00342D33"/>
    <w:rsid w:val="0034348B"/>
    <w:rsid w:val="00344D26"/>
    <w:rsid w:val="003514F7"/>
    <w:rsid w:val="00356F4B"/>
    <w:rsid w:val="003723C7"/>
    <w:rsid w:val="00375B5A"/>
    <w:rsid w:val="00382045"/>
    <w:rsid w:val="00385638"/>
    <w:rsid w:val="00386315"/>
    <w:rsid w:val="00390AE9"/>
    <w:rsid w:val="003927B6"/>
    <w:rsid w:val="003A1B07"/>
    <w:rsid w:val="003A5881"/>
    <w:rsid w:val="003A6194"/>
    <w:rsid w:val="003C2D79"/>
    <w:rsid w:val="003E0F23"/>
    <w:rsid w:val="003E7B53"/>
    <w:rsid w:val="003F4FC8"/>
    <w:rsid w:val="003F6633"/>
    <w:rsid w:val="003F6B4F"/>
    <w:rsid w:val="0041043E"/>
    <w:rsid w:val="00420D61"/>
    <w:rsid w:val="004328CC"/>
    <w:rsid w:val="00435F47"/>
    <w:rsid w:val="004408BD"/>
    <w:rsid w:val="00443B42"/>
    <w:rsid w:val="00453D6B"/>
    <w:rsid w:val="00474E1C"/>
    <w:rsid w:val="00481F24"/>
    <w:rsid w:val="0049153B"/>
    <w:rsid w:val="00492414"/>
    <w:rsid w:val="0049372E"/>
    <w:rsid w:val="004B1232"/>
    <w:rsid w:val="004B59BB"/>
    <w:rsid w:val="004C0F5F"/>
    <w:rsid w:val="004C33E5"/>
    <w:rsid w:val="004C3606"/>
    <w:rsid w:val="004D3DC0"/>
    <w:rsid w:val="004F484F"/>
    <w:rsid w:val="004F56B0"/>
    <w:rsid w:val="004F6FFD"/>
    <w:rsid w:val="005049FE"/>
    <w:rsid w:val="00504EB5"/>
    <w:rsid w:val="00535D70"/>
    <w:rsid w:val="00544F57"/>
    <w:rsid w:val="00547035"/>
    <w:rsid w:val="0055164B"/>
    <w:rsid w:val="0057058E"/>
    <w:rsid w:val="00574DD2"/>
    <w:rsid w:val="0057575B"/>
    <w:rsid w:val="00583C23"/>
    <w:rsid w:val="00584F73"/>
    <w:rsid w:val="00585C36"/>
    <w:rsid w:val="00586BC5"/>
    <w:rsid w:val="00590DF9"/>
    <w:rsid w:val="00593907"/>
    <w:rsid w:val="00593DE8"/>
    <w:rsid w:val="005B11FF"/>
    <w:rsid w:val="005B20D4"/>
    <w:rsid w:val="005C0324"/>
    <w:rsid w:val="005C30C3"/>
    <w:rsid w:val="005D0821"/>
    <w:rsid w:val="005D3982"/>
    <w:rsid w:val="005D4B77"/>
    <w:rsid w:val="005D5C20"/>
    <w:rsid w:val="005D7898"/>
    <w:rsid w:val="005F0197"/>
    <w:rsid w:val="005F48A2"/>
    <w:rsid w:val="005F62BA"/>
    <w:rsid w:val="00604923"/>
    <w:rsid w:val="0061452A"/>
    <w:rsid w:val="00617772"/>
    <w:rsid w:val="00621C26"/>
    <w:rsid w:val="00630B94"/>
    <w:rsid w:val="006472D8"/>
    <w:rsid w:val="006539EA"/>
    <w:rsid w:val="00660D11"/>
    <w:rsid w:val="00661086"/>
    <w:rsid w:val="00674C55"/>
    <w:rsid w:val="00687E27"/>
    <w:rsid w:val="00694E70"/>
    <w:rsid w:val="006C3A02"/>
    <w:rsid w:val="006D0990"/>
    <w:rsid w:val="006E5E68"/>
    <w:rsid w:val="006F0D5B"/>
    <w:rsid w:val="006F41BB"/>
    <w:rsid w:val="006F7C5D"/>
    <w:rsid w:val="00707D79"/>
    <w:rsid w:val="00715156"/>
    <w:rsid w:val="00732275"/>
    <w:rsid w:val="00732DD1"/>
    <w:rsid w:val="007421A5"/>
    <w:rsid w:val="00744558"/>
    <w:rsid w:val="00745E71"/>
    <w:rsid w:val="007525B0"/>
    <w:rsid w:val="007749BB"/>
    <w:rsid w:val="007932C6"/>
    <w:rsid w:val="007933A0"/>
    <w:rsid w:val="007C007E"/>
    <w:rsid w:val="007E4CA9"/>
    <w:rsid w:val="007E6476"/>
    <w:rsid w:val="007F54AA"/>
    <w:rsid w:val="00801015"/>
    <w:rsid w:val="00801B88"/>
    <w:rsid w:val="00810BE2"/>
    <w:rsid w:val="0081117E"/>
    <w:rsid w:val="00814172"/>
    <w:rsid w:val="008204AB"/>
    <w:rsid w:val="0082600D"/>
    <w:rsid w:val="00835751"/>
    <w:rsid w:val="00847F35"/>
    <w:rsid w:val="0088461D"/>
    <w:rsid w:val="00891428"/>
    <w:rsid w:val="00892B3B"/>
    <w:rsid w:val="008A1634"/>
    <w:rsid w:val="008B7B64"/>
    <w:rsid w:val="008C56A4"/>
    <w:rsid w:val="008D058E"/>
    <w:rsid w:val="008E1BE1"/>
    <w:rsid w:val="008E5215"/>
    <w:rsid w:val="008F0F70"/>
    <w:rsid w:val="008F4F5C"/>
    <w:rsid w:val="009129E6"/>
    <w:rsid w:val="00912DF1"/>
    <w:rsid w:val="00916695"/>
    <w:rsid w:val="009249E3"/>
    <w:rsid w:val="00933625"/>
    <w:rsid w:val="0094143F"/>
    <w:rsid w:val="00943459"/>
    <w:rsid w:val="00960DA6"/>
    <w:rsid w:val="00966A88"/>
    <w:rsid w:val="00967C6F"/>
    <w:rsid w:val="00972DB8"/>
    <w:rsid w:val="009733EC"/>
    <w:rsid w:val="009751C7"/>
    <w:rsid w:val="009836DD"/>
    <w:rsid w:val="009859D0"/>
    <w:rsid w:val="00991A0C"/>
    <w:rsid w:val="009922B6"/>
    <w:rsid w:val="009A12CE"/>
    <w:rsid w:val="009B26B7"/>
    <w:rsid w:val="009D6258"/>
    <w:rsid w:val="009E54B0"/>
    <w:rsid w:val="009F1450"/>
    <w:rsid w:val="009F27EE"/>
    <w:rsid w:val="009F35BC"/>
    <w:rsid w:val="009F750D"/>
    <w:rsid w:val="00A10F97"/>
    <w:rsid w:val="00A15B47"/>
    <w:rsid w:val="00A36DB6"/>
    <w:rsid w:val="00A374B2"/>
    <w:rsid w:val="00A4600E"/>
    <w:rsid w:val="00A526FB"/>
    <w:rsid w:val="00A55C5C"/>
    <w:rsid w:val="00A6692F"/>
    <w:rsid w:val="00A8300A"/>
    <w:rsid w:val="00A849BB"/>
    <w:rsid w:val="00A932CB"/>
    <w:rsid w:val="00A95A87"/>
    <w:rsid w:val="00AA3E9A"/>
    <w:rsid w:val="00AA6F40"/>
    <w:rsid w:val="00AB631F"/>
    <w:rsid w:val="00AC6FA8"/>
    <w:rsid w:val="00AD5099"/>
    <w:rsid w:val="00AF776F"/>
    <w:rsid w:val="00B002EA"/>
    <w:rsid w:val="00B11BC6"/>
    <w:rsid w:val="00B22C8B"/>
    <w:rsid w:val="00B560EF"/>
    <w:rsid w:val="00B609A4"/>
    <w:rsid w:val="00B64B66"/>
    <w:rsid w:val="00B753E5"/>
    <w:rsid w:val="00B85376"/>
    <w:rsid w:val="00B8667A"/>
    <w:rsid w:val="00B97450"/>
    <w:rsid w:val="00BA12BA"/>
    <w:rsid w:val="00BA1984"/>
    <w:rsid w:val="00BA70FD"/>
    <w:rsid w:val="00BA7C53"/>
    <w:rsid w:val="00BB6752"/>
    <w:rsid w:val="00BC0594"/>
    <w:rsid w:val="00BC3F06"/>
    <w:rsid w:val="00BD0077"/>
    <w:rsid w:val="00BD0463"/>
    <w:rsid w:val="00BD0927"/>
    <w:rsid w:val="00BD10E3"/>
    <w:rsid w:val="00BD66E9"/>
    <w:rsid w:val="00BE02BA"/>
    <w:rsid w:val="00BF3765"/>
    <w:rsid w:val="00C011C9"/>
    <w:rsid w:val="00C051D3"/>
    <w:rsid w:val="00C1632A"/>
    <w:rsid w:val="00C23CEC"/>
    <w:rsid w:val="00C30060"/>
    <w:rsid w:val="00C30E73"/>
    <w:rsid w:val="00C30FB6"/>
    <w:rsid w:val="00C4230B"/>
    <w:rsid w:val="00C440EE"/>
    <w:rsid w:val="00C558E3"/>
    <w:rsid w:val="00C5797B"/>
    <w:rsid w:val="00C62789"/>
    <w:rsid w:val="00C6427E"/>
    <w:rsid w:val="00C65EEB"/>
    <w:rsid w:val="00C869A3"/>
    <w:rsid w:val="00C92E41"/>
    <w:rsid w:val="00CA0BA0"/>
    <w:rsid w:val="00CA41A6"/>
    <w:rsid w:val="00CB3C85"/>
    <w:rsid w:val="00CB3EB9"/>
    <w:rsid w:val="00CC1CC8"/>
    <w:rsid w:val="00CC5950"/>
    <w:rsid w:val="00CC7DB8"/>
    <w:rsid w:val="00CF768C"/>
    <w:rsid w:val="00D01C3D"/>
    <w:rsid w:val="00D1063B"/>
    <w:rsid w:val="00D1132B"/>
    <w:rsid w:val="00D123D9"/>
    <w:rsid w:val="00D137B3"/>
    <w:rsid w:val="00D22738"/>
    <w:rsid w:val="00D266F8"/>
    <w:rsid w:val="00D34094"/>
    <w:rsid w:val="00D346D3"/>
    <w:rsid w:val="00D35A0C"/>
    <w:rsid w:val="00D37690"/>
    <w:rsid w:val="00D50DC3"/>
    <w:rsid w:val="00D5228C"/>
    <w:rsid w:val="00D60339"/>
    <w:rsid w:val="00D7281C"/>
    <w:rsid w:val="00D76385"/>
    <w:rsid w:val="00D8624A"/>
    <w:rsid w:val="00DA1F04"/>
    <w:rsid w:val="00DB5916"/>
    <w:rsid w:val="00DC3143"/>
    <w:rsid w:val="00DE11B1"/>
    <w:rsid w:val="00DF0CD5"/>
    <w:rsid w:val="00E0049A"/>
    <w:rsid w:val="00E03403"/>
    <w:rsid w:val="00E039AB"/>
    <w:rsid w:val="00E067AD"/>
    <w:rsid w:val="00E41702"/>
    <w:rsid w:val="00E45431"/>
    <w:rsid w:val="00E56AEA"/>
    <w:rsid w:val="00E57720"/>
    <w:rsid w:val="00E6038D"/>
    <w:rsid w:val="00E7143F"/>
    <w:rsid w:val="00E746F7"/>
    <w:rsid w:val="00E74F2B"/>
    <w:rsid w:val="00E822D8"/>
    <w:rsid w:val="00E92214"/>
    <w:rsid w:val="00EA4FCF"/>
    <w:rsid w:val="00EA5B1C"/>
    <w:rsid w:val="00EC07F6"/>
    <w:rsid w:val="00EC4F22"/>
    <w:rsid w:val="00F22516"/>
    <w:rsid w:val="00F249C0"/>
    <w:rsid w:val="00F24F9D"/>
    <w:rsid w:val="00F3390C"/>
    <w:rsid w:val="00F63D2B"/>
    <w:rsid w:val="00F771F9"/>
    <w:rsid w:val="00F863AE"/>
    <w:rsid w:val="00F879F1"/>
    <w:rsid w:val="00F92377"/>
    <w:rsid w:val="00FA717A"/>
    <w:rsid w:val="00FB108A"/>
    <w:rsid w:val="00FB1396"/>
    <w:rsid w:val="00FC3A0C"/>
    <w:rsid w:val="00FD099C"/>
    <w:rsid w:val="00FD3AE1"/>
    <w:rsid w:val="00FD7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character" w:styleId="Emphasis">
    <w:name w:val="Emphasis"/>
    <w:basedOn w:val="DefaultParagraphFont"/>
    <w:qFormat/>
    <w:rsid w:val="00745E71"/>
    <w:rPr>
      <w:i/>
      <w:iCs/>
    </w:rPr>
  </w:style>
</w:styles>
</file>

<file path=word/webSettings.xml><?xml version="1.0" encoding="utf-8"?>
<w:webSettings xmlns:r="http://schemas.openxmlformats.org/officeDocument/2006/relationships" xmlns:w="http://schemas.openxmlformats.org/wordprocessingml/2006/main">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EE224-COA</Template>
  <TotalTime>1</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lastModifiedBy>Ifra Noureen</cp:lastModifiedBy>
  <cp:revision>4</cp:revision>
  <cp:lastPrinted>2011-10-18T06:13:00Z</cp:lastPrinted>
  <dcterms:created xsi:type="dcterms:W3CDTF">2013-03-13T08:52:00Z</dcterms:created>
  <dcterms:modified xsi:type="dcterms:W3CDTF">2013-03-13T08:53:00Z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