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870"/>
        <w:gridCol w:w="153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BA7AFF">
              <w:rPr>
                <w:rFonts w:asciiTheme="minorHAnsi" w:hAnsiTheme="minorHAnsi"/>
                <w:sz w:val="30"/>
                <w:szCs w:val="32"/>
              </w:rPr>
              <w:t xml:space="preserve">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 xml:space="preserve">School of </w:t>
            </w:r>
            <w:r w:rsidR="00D13B72">
              <w:rPr>
                <w:rFonts w:asciiTheme="minorHAnsi" w:hAnsiTheme="minorHAnsi"/>
                <w:sz w:val="30"/>
                <w:szCs w:val="32"/>
              </w:rPr>
              <w:t>Engineering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55C5C" w:rsidP="00BA7AFF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 xml:space="preserve">EE </w:t>
            </w:r>
            <w:r w:rsidR="00BA7AFF">
              <w:rPr>
                <w:rFonts w:asciiTheme="minorHAnsi" w:hAnsiTheme="minorHAnsi"/>
                <w:sz w:val="30"/>
                <w:szCs w:val="32"/>
              </w:rPr>
              <w:t>375</w:t>
            </w:r>
            <w:r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BA7AFF">
              <w:rPr>
                <w:rFonts w:asciiTheme="minorHAnsi" w:hAnsiTheme="minorHAnsi"/>
                <w:sz w:val="30"/>
                <w:szCs w:val="32"/>
              </w:rPr>
              <w:t>Telecom Switching and Transmission</w:t>
            </w:r>
          </w:p>
        </w:tc>
      </w:tr>
      <w:tr w:rsidR="00BC0594" w:rsidRPr="006D0990" w:rsidTr="007A6DAE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5F0736" w:rsidRDefault="00BC0594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  <w:p w:rsidR="007A6DAE" w:rsidRPr="005F0736" w:rsidRDefault="00D13B72" w:rsidP="00D13B7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</w:t>
            </w:r>
            <w:r w:rsidR="007A6DAE" w:rsidRPr="005F0736">
              <w:rPr>
                <w:rFonts w:asciiTheme="minorHAnsi" w:hAnsiTheme="minorHAnsi"/>
                <w:bCs/>
              </w:rPr>
              <w:t xml:space="preserve">, </w:t>
            </w:r>
            <w:r>
              <w:rPr>
                <w:rFonts w:asciiTheme="minorHAnsi" w:hAnsiTheme="minorHAnsi"/>
                <w:bCs/>
              </w:rPr>
              <w:t>Wednesday</w:t>
            </w:r>
            <w:r w:rsidR="009129E6" w:rsidRPr="005F0736">
              <w:rPr>
                <w:rFonts w:asciiTheme="minorHAnsi" w:hAnsiTheme="minorHAnsi"/>
                <w:bCs/>
              </w:rPr>
              <w:t xml:space="preserve">  </w:t>
            </w:r>
            <w:r w:rsidR="00C40BF9">
              <w:rPr>
                <w:rFonts w:asciiTheme="minorHAnsi" w:hAnsiTheme="minorHAnsi"/>
                <w:bCs/>
              </w:rPr>
              <w:t>09:30 – 10</w:t>
            </w:r>
            <w:r w:rsidR="00461E28">
              <w:rPr>
                <w:rFonts w:asciiTheme="minorHAnsi" w:hAnsiTheme="minorHAnsi"/>
                <w:bCs/>
              </w:rPr>
              <w:t>:45</w:t>
            </w:r>
            <w:r w:rsidR="00D35A0C" w:rsidRPr="005F0736">
              <w:rPr>
                <w:rFonts w:asciiTheme="minorHAnsi" w:hAnsiTheme="minorHAnsi"/>
                <w:bCs/>
              </w:rPr>
              <w:t xml:space="preserve">  (Sec </w:t>
            </w:r>
            <w:r w:rsidR="00250D9B">
              <w:rPr>
                <w:rFonts w:asciiTheme="minorHAnsi" w:hAnsiTheme="minorHAnsi"/>
                <w:bCs/>
              </w:rPr>
              <w:t>C</w:t>
            </w:r>
            <w:r w:rsidR="00D35A0C" w:rsidRPr="005F0736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5F0736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5F0736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5F0736" w:rsidRDefault="005F10BA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bCs/>
              </w:rPr>
              <w:t>Fall</w:t>
            </w:r>
            <w:r w:rsidR="0088461D" w:rsidRPr="005F0736">
              <w:rPr>
                <w:rFonts w:asciiTheme="minorHAnsi" w:hAnsiTheme="minorHAnsi"/>
                <w:bCs/>
              </w:rPr>
              <w:t xml:space="preserve"> </w:t>
            </w:r>
            <w:r w:rsidR="004F484F" w:rsidRPr="005F0736">
              <w:rPr>
                <w:rFonts w:asciiTheme="minorHAnsi" w:hAnsiTheme="minorHAnsi"/>
                <w:bCs/>
              </w:rPr>
              <w:t>201</w:t>
            </w:r>
            <w:r w:rsidR="00461E28">
              <w:rPr>
                <w:rFonts w:asciiTheme="minorHAnsi" w:hAnsiTheme="minorHAnsi"/>
                <w:bCs/>
              </w:rPr>
              <w:t>4</w:t>
            </w: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6D0990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bCs/>
              </w:rPr>
              <w:t>EE-</w:t>
            </w:r>
            <w:r w:rsidR="005F10BA" w:rsidRPr="005F0736">
              <w:rPr>
                <w:rFonts w:asciiTheme="minorHAnsi" w:hAnsiTheme="minorHAnsi"/>
                <w:bCs/>
              </w:rPr>
              <w:t>310</w:t>
            </w:r>
            <w:r w:rsidRPr="005F073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5F10BA" w:rsidRPr="005F0736">
              <w:rPr>
                <w:rFonts w:asciiTheme="minorHAnsi" w:hAnsiTheme="minorHAnsi"/>
                <w:bCs/>
              </w:rPr>
              <w:t>Electromagnetics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5F0736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5F10BA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7A6DAE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B20D4" w:rsidRPr="005F0736" w:rsidRDefault="009A6867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bCs/>
              </w:rPr>
              <w:t xml:space="preserve">Khalid </w:t>
            </w:r>
            <w:proofErr w:type="spellStart"/>
            <w:r w:rsidRPr="005F0736">
              <w:rPr>
                <w:rFonts w:asciiTheme="minorHAnsi" w:hAnsiTheme="minorHAnsi"/>
                <w:bCs/>
              </w:rPr>
              <w:t>Asghar</w:t>
            </w:r>
            <w:proofErr w:type="spellEnd"/>
            <w:r w:rsidR="00C30060" w:rsidRPr="005F0736">
              <w:rPr>
                <w:rFonts w:asciiTheme="minorHAnsi" w:hAnsiTheme="minorHAnsi"/>
                <w:bCs/>
              </w:rPr>
              <w:t xml:space="preserve">               </w:t>
            </w:r>
            <w:r w:rsidR="005B20D4" w:rsidRPr="005F0736">
              <w:rPr>
                <w:rFonts w:asciiTheme="minorHAnsi" w:hAnsiTheme="minorHAnsi"/>
                <w:bCs/>
              </w:rPr>
              <w:t>(Sec A)</w:t>
            </w:r>
          </w:p>
          <w:p w:rsidR="009A6867" w:rsidRPr="005F0736" w:rsidRDefault="009A6867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5F0736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551FC" w:rsidRPr="005F0736" w:rsidRDefault="00E877B2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hyperlink r:id="rId6" w:history="1">
              <w:r w:rsidR="008E7FE8" w:rsidRPr="005F0736">
                <w:rPr>
                  <w:rStyle w:val="Hyperlink"/>
                  <w:rFonts w:asciiTheme="minorHAnsi" w:hAnsiTheme="minorHAnsi"/>
                  <w:bCs/>
                </w:rPr>
                <w:t>khalid.asghar@umt.edu.pk</w:t>
              </w:r>
            </w:hyperlink>
          </w:p>
          <w:p w:rsidR="00F551FC" w:rsidRPr="005F0736" w:rsidRDefault="00F551FC" w:rsidP="00F551F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249E3" w:rsidRPr="005F0736" w:rsidRDefault="006D0990" w:rsidP="00337D6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 w:rsidRPr="005F0736">
              <w:rPr>
                <w:rFonts w:asciiTheme="minorHAnsi" w:hAnsiTheme="minorHAnsi"/>
                <w:bCs/>
              </w:rPr>
              <w:t>2</w:t>
            </w:r>
            <w:r w:rsidRPr="005F0736">
              <w:rPr>
                <w:rFonts w:asciiTheme="minorHAnsi" w:hAnsiTheme="minorHAnsi"/>
                <w:bCs/>
                <w:vertAlign w:val="superscript"/>
              </w:rPr>
              <w:t>nd</w:t>
            </w:r>
            <w:r w:rsidRPr="005F0736">
              <w:rPr>
                <w:rFonts w:asciiTheme="minorHAnsi" w:hAnsiTheme="minorHAnsi"/>
                <w:bCs/>
              </w:rPr>
              <w:t xml:space="preserve"> Floor,</w:t>
            </w:r>
            <w:r w:rsidR="00D44478" w:rsidRPr="005F0736">
              <w:rPr>
                <w:rFonts w:asciiTheme="minorHAnsi" w:hAnsiTheme="minorHAnsi"/>
                <w:bCs/>
              </w:rPr>
              <w:t xml:space="preserve"> 3S-41</w:t>
            </w:r>
            <w:r w:rsidR="007B65A7" w:rsidRPr="005F0736">
              <w:rPr>
                <w:rFonts w:asciiTheme="minorHAnsi" w:hAnsiTheme="minorHAnsi"/>
                <w:bCs/>
              </w:rPr>
              <w:t>, Cabin 3</w:t>
            </w:r>
            <w:r w:rsidR="00D44478" w:rsidRPr="005F0736">
              <w:rPr>
                <w:rFonts w:asciiTheme="minorHAnsi" w:hAnsiTheme="minorHAnsi"/>
                <w:bCs/>
                <w:vertAlign w:val="superscript"/>
              </w:rPr>
              <w:t>,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5F0736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AC6FA8" w:rsidP="00337D6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7A6DAE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5F0736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5F0736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bCs/>
              </w:rPr>
              <w:t>N/A</w:t>
            </w:r>
          </w:p>
        </w:tc>
      </w:tr>
      <w:tr w:rsidR="00847921" w:rsidRPr="006D0990" w:rsidTr="00807CFB">
        <w:trPr>
          <w:trHeight w:val="144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47921" w:rsidRPr="006D0990" w:rsidRDefault="00847921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Course Website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47921" w:rsidRPr="005F0736" w:rsidRDefault="00847921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5F0736" w:rsidRDefault="002C5990" w:rsidP="0029206E">
            <w:pPr>
              <w:jc w:val="both"/>
              <w:rPr>
                <w:rFonts w:asciiTheme="minorHAnsi" w:hAnsiTheme="minorHAnsi"/>
              </w:rPr>
            </w:pPr>
            <w:r w:rsidRPr="005F0736">
              <w:rPr>
                <w:rFonts w:asciiTheme="minorHAnsi" w:hAnsiTheme="minorHAnsi"/>
                <w:color w:val="000000"/>
                <w:spacing w:val="1"/>
              </w:rPr>
              <w:t xml:space="preserve">This course is a </w:t>
            </w:r>
            <w:r w:rsidR="00072560" w:rsidRPr="005F0736">
              <w:rPr>
                <w:rFonts w:asciiTheme="minorHAnsi" w:hAnsiTheme="minorHAnsi"/>
                <w:color w:val="000000"/>
                <w:spacing w:val="1"/>
              </w:rPr>
              <w:t xml:space="preserve">fundamental course of </w:t>
            </w:r>
            <w:r w:rsidR="00A14CEE">
              <w:rPr>
                <w:rFonts w:asciiTheme="minorHAnsi" w:hAnsiTheme="minorHAnsi"/>
                <w:color w:val="000000"/>
                <w:spacing w:val="1"/>
              </w:rPr>
              <w:t>Telecommunication systems.</w:t>
            </w:r>
            <w:r w:rsidRPr="005F0736">
              <w:rPr>
                <w:rFonts w:asciiTheme="minorHAnsi" w:hAnsiTheme="minorHAnsi"/>
                <w:color w:val="000000"/>
                <w:spacing w:val="1"/>
              </w:rPr>
              <w:t xml:space="preserve"> It covers following topics. </w:t>
            </w:r>
            <w:r w:rsidR="00072560" w:rsidRPr="005F0736">
              <w:rPr>
                <w:rFonts w:asciiTheme="minorHAnsi" w:hAnsiTheme="minorHAnsi"/>
                <w:color w:val="000000"/>
                <w:spacing w:val="1"/>
              </w:rPr>
              <w:t xml:space="preserve">Overview of </w:t>
            </w:r>
            <w:r w:rsidR="00A14CEE">
              <w:rPr>
                <w:rFonts w:asciiTheme="minorHAnsi" w:hAnsiTheme="minorHAnsi"/>
                <w:color w:val="000000"/>
                <w:spacing w:val="1"/>
              </w:rPr>
              <w:t xml:space="preserve">different switching systems including the Manual, Electromechanical, Electronic and Digital Switching. </w:t>
            </w:r>
            <w:proofErr w:type="spellStart"/>
            <w:r w:rsidR="00A14CEE">
              <w:rPr>
                <w:rFonts w:asciiTheme="minorHAnsi" w:hAnsiTheme="minorHAnsi"/>
                <w:color w:val="000000"/>
                <w:spacing w:val="1"/>
              </w:rPr>
              <w:t>Voip</w:t>
            </w:r>
            <w:proofErr w:type="spellEnd"/>
            <w:r w:rsidR="00A14CEE">
              <w:rPr>
                <w:rFonts w:asciiTheme="minorHAnsi" w:hAnsiTheme="minorHAnsi"/>
                <w:color w:val="000000"/>
                <w:spacing w:val="1"/>
              </w:rPr>
              <w:t xml:space="preserve">, soft </w:t>
            </w:r>
            <w:proofErr w:type="gramStart"/>
            <w:r w:rsidR="00A14CEE">
              <w:rPr>
                <w:rFonts w:asciiTheme="minorHAnsi" w:hAnsiTheme="minorHAnsi"/>
                <w:color w:val="000000"/>
                <w:spacing w:val="1"/>
              </w:rPr>
              <w:t>switch ,</w:t>
            </w:r>
            <w:proofErr w:type="gramEnd"/>
            <w:r w:rsidR="00A14CEE">
              <w:rPr>
                <w:rFonts w:asciiTheme="minorHAnsi" w:hAnsiTheme="minorHAnsi"/>
                <w:color w:val="000000"/>
                <w:spacing w:val="1"/>
              </w:rPr>
              <w:t xml:space="preserve"> Media gateway and NGN will be discussed. Transmission systems like PCM, PDH, SDH and Ethernet will be discussed.   </w:t>
            </w:r>
            <w:r w:rsidR="0029206E">
              <w:rPr>
                <w:rFonts w:asciiTheme="minorHAnsi" w:hAnsiTheme="minorHAnsi"/>
                <w:color w:val="000000"/>
                <w:spacing w:val="1"/>
              </w:rPr>
              <w:t xml:space="preserve">Most modern communication techniques like </w:t>
            </w:r>
            <w:r w:rsidR="00072560" w:rsidRPr="005F0736">
              <w:rPr>
                <w:rFonts w:asciiTheme="minorHAnsi" w:hAnsiTheme="minorHAnsi"/>
                <w:color w:val="000000"/>
                <w:spacing w:val="1"/>
              </w:rPr>
              <w:t xml:space="preserve">Optical fiber </w:t>
            </w:r>
            <w:r w:rsidR="005F0736" w:rsidRPr="005F0736">
              <w:rPr>
                <w:rFonts w:asciiTheme="minorHAnsi" w:hAnsiTheme="minorHAnsi"/>
                <w:color w:val="000000"/>
                <w:spacing w:val="1"/>
              </w:rPr>
              <w:t>communication</w:t>
            </w:r>
            <w:r w:rsidR="0029206E">
              <w:rPr>
                <w:rFonts w:asciiTheme="minorHAnsi" w:hAnsiTheme="minorHAnsi"/>
                <w:color w:val="000000"/>
                <w:spacing w:val="1"/>
              </w:rPr>
              <w:t xml:space="preserve"> will be discussed exclusively. Telecom Traffic and Signaling will also be discussed</w:t>
            </w:r>
            <w:r w:rsidR="002E734D">
              <w:rPr>
                <w:rFonts w:asciiTheme="minorHAnsi" w:hAnsiTheme="minorHAnsi"/>
                <w:color w:val="000000"/>
                <w:spacing w:val="1"/>
              </w:rPr>
              <w:t xml:space="preserve"> </w:t>
            </w:r>
            <w:r w:rsidR="002E734D" w:rsidRPr="004B02E8">
              <w:rPr>
                <w:rFonts w:asciiTheme="minorHAnsi" w:hAnsiTheme="minorHAnsi"/>
              </w:rPr>
              <w:t xml:space="preserve">The course contributes to HEC Electrical Engineering Curriculum </w:t>
            </w:r>
            <w:r w:rsidR="002E734D" w:rsidRPr="002E734D">
              <w:rPr>
                <w:rFonts w:asciiTheme="minorHAnsi" w:hAnsiTheme="minorHAnsi"/>
                <w:b/>
              </w:rPr>
              <w:t>objectives</w:t>
            </w:r>
            <w:r w:rsidR="002E734D" w:rsidRPr="004B02E8">
              <w:rPr>
                <w:rFonts w:asciiTheme="minorHAnsi" w:hAnsiTheme="minorHAnsi"/>
              </w:rPr>
              <w:t xml:space="preserve"> a, d, </w:t>
            </w:r>
            <w:r w:rsidR="00E53424">
              <w:rPr>
                <w:rFonts w:asciiTheme="minorHAnsi" w:hAnsiTheme="minorHAnsi"/>
              </w:rPr>
              <w:t xml:space="preserve">e </w:t>
            </w:r>
            <w:r w:rsidR="002E734D" w:rsidRPr="004B02E8">
              <w:rPr>
                <w:rFonts w:asciiTheme="minorHAnsi" w:hAnsiTheme="minorHAnsi"/>
              </w:rPr>
              <w:t xml:space="preserve">and </w:t>
            </w:r>
            <w:r w:rsidR="00E53424">
              <w:rPr>
                <w:rFonts w:asciiTheme="minorHAnsi" w:hAnsiTheme="minorHAnsi"/>
              </w:rPr>
              <w:t>f</w:t>
            </w:r>
            <w:r w:rsidR="002E734D" w:rsidRPr="004B02E8">
              <w:rPr>
                <w:rFonts w:asciiTheme="minorHAnsi" w:hAnsiTheme="minorHAnsi"/>
              </w:rPr>
              <w:t>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5F0736" w:rsidRDefault="00A526FB" w:rsidP="00D22738">
            <w:pPr>
              <w:jc w:val="both"/>
              <w:rPr>
                <w:rFonts w:asciiTheme="minorHAnsi" w:hAnsiTheme="minorHAnsi"/>
              </w:rPr>
            </w:pPr>
            <w:r w:rsidRPr="005F0736">
              <w:rPr>
                <w:rFonts w:asciiTheme="minorHAnsi" w:hAnsiTheme="minorHAnsi"/>
              </w:rPr>
              <w:t xml:space="preserve">In accordance with HEC curriculum </w:t>
            </w:r>
            <w:r w:rsidRPr="009A6039">
              <w:rPr>
                <w:rFonts w:asciiTheme="minorHAnsi" w:hAnsiTheme="minorHAnsi"/>
                <w:b/>
              </w:rPr>
              <w:t>outcomes</w:t>
            </w:r>
            <w:r w:rsidRPr="005F0736">
              <w:rPr>
                <w:rFonts w:asciiTheme="minorHAnsi" w:hAnsiTheme="minorHAnsi"/>
              </w:rPr>
              <w:t xml:space="preserve"> a, b, d, e, g, h </w:t>
            </w:r>
            <w:r w:rsidR="006C0EFB">
              <w:rPr>
                <w:rFonts w:asciiTheme="minorHAnsi" w:hAnsiTheme="minorHAnsi"/>
              </w:rPr>
              <w:t>and I</w:t>
            </w:r>
            <w:r w:rsidRPr="005F0736">
              <w:rPr>
                <w:rFonts w:asciiTheme="minorHAnsi" w:hAnsiTheme="minorHAnsi"/>
              </w:rPr>
              <w:t>,</w:t>
            </w:r>
            <w:r w:rsidR="006C0EFB">
              <w:rPr>
                <w:rFonts w:asciiTheme="minorHAnsi" w:hAnsiTheme="minorHAnsi"/>
              </w:rPr>
              <w:t xml:space="preserve"> the </w:t>
            </w:r>
            <w:r w:rsidRPr="005F0736">
              <w:rPr>
                <w:rFonts w:asciiTheme="minorHAnsi" w:hAnsiTheme="minorHAnsi"/>
              </w:rPr>
              <w:t>students a</w:t>
            </w:r>
            <w:r w:rsidR="006D0990" w:rsidRPr="005F0736">
              <w:rPr>
                <w:rFonts w:asciiTheme="minorHAnsi" w:hAnsiTheme="minorHAnsi"/>
              </w:rPr>
              <w:t>t the end of the course should be able to</w:t>
            </w:r>
          </w:p>
          <w:p w:rsidR="00D1132B" w:rsidRPr="005F0736" w:rsidRDefault="00DD1F0F" w:rsidP="00D1132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5F0736">
              <w:rPr>
                <w:rFonts w:asciiTheme="minorHAnsi" w:hAnsiTheme="minorHAnsi"/>
              </w:rPr>
              <w:t xml:space="preserve">Understand the </w:t>
            </w:r>
            <w:r w:rsidR="0029206E">
              <w:rPr>
                <w:rFonts w:asciiTheme="minorHAnsi" w:hAnsiTheme="minorHAnsi"/>
              </w:rPr>
              <w:t>Telecom Switching System</w:t>
            </w:r>
            <w:r w:rsidRPr="005F0736">
              <w:rPr>
                <w:rFonts w:asciiTheme="minorHAnsi" w:hAnsiTheme="minorHAnsi"/>
              </w:rPr>
              <w:t>.</w:t>
            </w:r>
          </w:p>
          <w:p w:rsidR="007749BB" w:rsidRPr="005F0736" w:rsidRDefault="0029206E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Understanding of Telecom Transmission Systems</w:t>
            </w:r>
          </w:p>
          <w:p w:rsidR="007749BB" w:rsidRPr="005F0736" w:rsidRDefault="0029206E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Understanding of Telecom Traffic and signaling systems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Pr="005F0736" w:rsidRDefault="006F0D5B" w:rsidP="006F0D5B">
            <w:pPr>
              <w:rPr>
                <w:rFonts w:asciiTheme="minorHAnsi" w:hAnsiTheme="minorHAnsi" w:cs="Arial"/>
                <w:b/>
              </w:rPr>
            </w:pPr>
            <w:r w:rsidRPr="005F0736">
              <w:rPr>
                <w:rFonts w:asciiTheme="minorHAnsi" w:hAnsiTheme="minorHAnsi" w:cs="Arial"/>
                <w:b/>
              </w:rPr>
              <w:t>Recommended Text:</w:t>
            </w:r>
          </w:p>
          <w:p w:rsidR="00A14CEE" w:rsidRDefault="00A14CEE" w:rsidP="00A14CE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1"/>
              </w:rPr>
            </w:pPr>
            <w:r>
              <w:rPr>
                <w:rFonts w:asciiTheme="minorHAnsi" w:hAnsiTheme="minorHAnsi"/>
                <w:bCs/>
                <w:color w:val="000000"/>
                <w:spacing w:val="1"/>
              </w:rPr>
              <w:t>Telecommunications Switching, Traffic and Network by J.E Flood</w:t>
            </w:r>
          </w:p>
          <w:p w:rsidR="003C3666" w:rsidRPr="005F0736" w:rsidRDefault="00A14CEE" w:rsidP="006F0D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1"/>
              </w:rPr>
            </w:pPr>
            <w:r>
              <w:rPr>
                <w:rFonts w:asciiTheme="minorHAnsi" w:hAnsiTheme="minorHAnsi"/>
                <w:bCs/>
                <w:color w:val="000000"/>
                <w:spacing w:val="1"/>
              </w:rPr>
              <w:t xml:space="preserve">      2</w:t>
            </w:r>
            <w:r w:rsidR="003C3666" w:rsidRPr="005F0736">
              <w:rPr>
                <w:rFonts w:asciiTheme="minorHAnsi" w:hAnsiTheme="minorHAnsi"/>
                <w:bCs/>
                <w:color w:val="000000"/>
                <w:spacing w:val="1"/>
              </w:rPr>
              <w:t xml:space="preserve">-Optical Communications Latest Edition by </w:t>
            </w:r>
            <w:proofErr w:type="spellStart"/>
            <w:r w:rsidR="003C3666" w:rsidRPr="005F0736">
              <w:rPr>
                <w:rFonts w:asciiTheme="minorHAnsi" w:hAnsiTheme="minorHAnsi"/>
                <w:bCs/>
                <w:color w:val="000000"/>
                <w:spacing w:val="1"/>
              </w:rPr>
              <w:t>Gerd</w:t>
            </w:r>
            <w:proofErr w:type="spellEnd"/>
            <w:r w:rsidR="003C3666" w:rsidRPr="005F0736">
              <w:rPr>
                <w:rFonts w:asciiTheme="minorHAnsi" w:hAnsiTheme="minorHAnsi"/>
                <w:bCs/>
                <w:color w:val="000000"/>
                <w:spacing w:val="1"/>
              </w:rPr>
              <w:t xml:space="preserve"> Keiser, Tata </w:t>
            </w:r>
            <w:r w:rsidR="009A6039" w:rsidRPr="005F0736">
              <w:rPr>
                <w:rFonts w:asciiTheme="minorHAnsi" w:hAnsiTheme="minorHAnsi"/>
                <w:bCs/>
                <w:color w:val="000000"/>
                <w:spacing w:val="1"/>
              </w:rPr>
              <w:t>McGraw-Hill</w:t>
            </w:r>
            <w:r w:rsidR="003C3666" w:rsidRPr="005F0736">
              <w:rPr>
                <w:rFonts w:asciiTheme="minorHAnsi" w:hAnsiTheme="minorHAnsi"/>
                <w:bCs/>
                <w:color w:val="000000"/>
                <w:spacing w:val="1"/>
              </w:rPr>
              <w:t>”</w:t>
            </w:r>
          </w:p>
          <w:p w:rsidR="00DD1F0F" w:rsidRPr="005F0736" w:rsidRDefault="003C3666" w:rsidP="006F0D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pacing w:val="1"/>
              </w:rPr>
            </w:pPr>
            <w:r w:rsidRPr="005F0736">
              <w:rPr>
                <w:rFonts w:asciiTheme="minorHAnsi" w:hAnsiTheme="minorHAnsi"/>
                <w:bCs/>
                <w:color w:val="000000"/>
                <w:spacing w:val="1"/>
              </w:rPr>
              <w:t xml:space="preserve"> </w:t>
            </w:r>
            <w:r w:rsidR="00DD1F0F" w:rsidRPr="005F0736">
              <w:rPr>
                <w:rFonts w:asciiTheme="minorHAnsi" w:hAnsiTheme="minorHAnsi"/>
                <w:color w:val="000000"/>
                <w:spacing w:val="1"/>
              </w:rPr>
              <w:t xml:space="preserve">      </w:t>
            </w:r>
          </w:p>
          <w:p w:rsidR="006F0D5B" w:rsidRPr="005F0736" w:rsidRDefault="00DE11B1" w:rsidP="006F0D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</w:rPr>
            </w:pPr>
            <w:r w:rsidRPr="005F0736">
              <w:rPr>
                <w:rFonts w:asciiTheme="minorHAnsi" w:hAnsiTheme="minorHAnsi"/>
                <w:b/>
                <w:bCs/>
              </w:rPr>
              <w:t>Reference</w:t>
            </w:r>
            <w:r w:rsidR="006F0D5B" w:rsidRPr="005F0736">
              <w:rPr>
                <w:rFonts w:asciiTheme="minorHAnsi" w:hAnsiTheme="minorHAnsi"/>
                <w:b/>
                <w:bCs/>
              </w:rPr>
              <w:t>:</w:t>
            </w:r>
          </w:p>
          <w:p w:rsidR="006D0990" w:rsidRPr="005F0736" w:rsidRDefault="00DD1F0F" w:rsidP="00A14CEE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/>
                <w:bCs/>
              </w:rPr>
            </w:pPr>
            <w:r w:rsidRPr="005F0736">
              <w:rPr>
                <w:rFonts w:asciiTheme="minorHAnsi" w:hAnsiTheme="minorHAnsi"/>
                <w:color w:val="000000"/>
                <w:spacing w:val="1"/>
              </w:rPr>
              <w:t>“</w:t>
            </w:r>
            <w:r w:rsidR="00A14CEE">
              <w:rPr>
                <w:rFonts w:asciiTheme="minorHAnsi" w:hAnsiTheme="minorHAnsi"/>
                <w:color w:val="000000"/>
                <w:spacing w:val="1"/>
              </w:rPr>
              <w:t>Telecommunication Transmission System by Robert Winch lat</w:t>
            </w:r>
            <w:r w:rsidR="002120FF" w:rsidRPr="005F0736">
              <w:rPr>
                <w:rFonts w:asciiTheme="minorHAnsi" w:hAnsiTheme="minorHAnsi"/>
                <w:color w:val="000000"/>
                <w:spacing w:val="1"/>
              </w:rPr>
              <w:t xml:space="preserve">est Edition </w:t>
            </w:r>
            <w:r w:rsidRPr="005F0736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6D0990" w:rsidRPr="006D0990" w:rsidTr="00C13681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1F0F" w:rsidRPr="005F0736" w:rsidRDefault="006D0990" w:rsidP="00DD1F0F">
            <w:pPr>
              <w:rPr>
                <w:rFonts w:asciiTheme="minorHAnsi" w:hAnsiTheme="minorHAnsi"/>
              </w:rPr>
            </w:pPr>
            <w:r w:rsidRPr="005F0736">
              <w:rPr>
                <w:rFonts w:asciiTheme="minorHAnsi" w:hAnsiTheme="minorHAnsi"/>
              </w:rPr>
              <w:t xml:space="preserve">Final </w:t>
            </w:r>
            <w:r w:rsidR="002120FF" w:rsidRPr="005F0736">
              <w:rPr>
                <w:rFonts w:asciiTheme="minorHAnsi" w:hAnsiTheme="minorHAnsi"/>
              </w:rPr>
              <w:t>Term:</w:t>
            </w:r>
            <w:r w:rsidR="002120FF" w:rsidRPr="005F0736">
              <w:rPr>
                <w:rFonts w:asciiTheme="minorHAnsi" w:hAnsiTheme="minorHAnsi"/>
              </w:rPr>
              <w:tab/>
            </w:r>
            <w:r w:rsidR="002120FF" w:rsidRPr="005F0736">
              <w:rPr>
                <w:rFonts w:asciiTheme="minorHAnsi" w:hAnsiTheme="minorHAnsi"/>
              </w:rPr>
              <w:tab/>
            </w:r>
            <w:r w:rsidR="002120FF" w:rsidRPr="005F0736">
              <w:rPr>
                <w:rFonts w:asciiTheme="minorHAnsi" w:hAnsiTheme="minorHAnsi"/>
              </w:rPr>
              <w:tab/>
              <w:t>5</w:t>
            </w:r>
            <w:r w:rsidRPr="005F0736">
              <w:rPr>
                <w:rFonts w:asciiTheme="minorHAnsi" w:hAnsiTheme="minorHAnsi"/>
              </w:rPr>
              <w:t>0%</w:t>
            </w:r>
            <w:r w:rsidR="002131AF" w:rsidRPr="005F0736">
              <w:rPr>
                <w:rFonts w:asciiTheme="minorHAnsi" w:hAnsiTheme="minorHAnsi"/>
              </w:rPr>
              <w:tab/>
            </w:r>
            <w:r w:rsidR="000E7B1F" w:rsidRPr="005F0736">
              <w:rPr>
                <w:rFonts w:asciiTheme="minorHAnsi" w:hAnsiTheme="minorHAnsi"/>
              </w:rPr>
              <w:t>Mid Term:</w:t>
            </w:r>
            <w:r w:rsidR="000E7B1F" w:rsidRPr="005F0736">
              <w:rPr>
                <w:rFonts w:asciiTheme="minorHAnsi" w:hAnsiTheme="minorHAnsi"/>
              </w:rPr>
              <w:tab/>
              <w:t>2</w:t>
            </w:r>
            <w:r w:rsidR="00106EA0">
              <w:rPr>
                <w:rFonts w:asciiTheme="minorHAnsi" w:hAnsiTheme="minorHAnsi"/>
              </w:rPr>
              <w:t>5</w:t>
            </w:r>
            <w:r w:rsidRPr="005F0736">
              <w:rPr>
                <w:rFonts w:asciiTheme="minorHAnsi" w:hAnsiTheme="minorHAnsi"/>
              </w:rPr>
              <w:t>%</w:t>
            </w:r>
            <w:r w:rsidR="000E7B1F" w:rsidRPr="005F0736">
              <w:rPr>
                <w:rFonts w:asciiTheme="minorHAnsi" w:hAnsiTheme="minorHAnsi"/>
              </w:rPr>
              <w:tab/>
            </w:r>
          </w:p>
          <w:p w:rsidR="006D0990" w:rsidRPr="005F0736" w:rsidRDefault="006D0990" w:rsidP="00C13681">
            <w:pPr>
              <w:rPr>
                <w:rFonts w:asciiTheme="minorHAnsi" w:hAnsiTheme="minorHAnsi"/>
              </w:rPr>
            </w:pPr>
            <w:r w:rsidRPr="005F0736">
              <w:rPr>
                <w:rFonts w:asciiTheme="minorHAnsi" w:hAnsiTheme="minorHAnsi"/>
              </w:rPr>
              <w:t>Quizzes &amp; Assignments:</w:t>
            </w:r>
            <w:r w:rsidRPr="005F0736">
              <w:rPr>
                <w:rFonts w:asciiTheme="minorHAnsi" w:hAnsiTheme="minorHAnsi"/>
              </w:rPr>
              <w:tab/>
            </w:r>
            <w:r w:rsidR="00106EA0">
              <w:rPr>
                <w:rFonts w:asciiTheme="minorHAnsi" w:hAnsiTheme="minorHAnsi"/>
              </w:rPr>
              <w:t>15</w:t>
            </w:r>
            <w:r w:rsidRPr="005F0736">
              <w:rPr>
                <w:rFonts w:asciiTheme="minorHAnsi" w:hAnsiTheme="minorHAnsi"/>
              </w:rPr>
              <w:t>%</w:t>
            </w:r>
            <w:r w:rsidR="002131AF" w:rsidRPr="005F0736">
              <w:rPr>
                <w:rFonts w:asciiTheme="minorHAnsi" w:hAnsiTheme="minorHAnsi"/>
              </w:rPr>
              <w:tab/>
            </w:r>
            <w:r w:rsidR="002120FF" w:rsidRPr="005F0736">
              <w:rPr>
                <w:rFonts w:asciiTheme="minorHAnsi" w:hAnsiTheme="minorHAnsi"/>
              </w:rPr>
              <w:t>Project:</w:t>
            </w:r>
            <w:r w:rsidR="00C13681" w:rsidRPr="005F0736">
              <w:rPr>
                <w:rFonts w:asciiTheme="minorHAnsi" w:hAnsiTheme="minorHAnsi"/>
              </w:rPr>
              <w:t xml:space="preserve"> </w:t>
            </w:r>
            <w:r w:rsidR="00C13681" w:rsidRPr="005F0736">
              <w:rPr>
                <w:rFonts w:asciiTheme="minorHAnsi" w:hAnsiTheme="minorHAnsi"/>
              </w:rPr>
              <w:tab/>
            </w:r>
            <w:r w:rsidR="002120FF" w:rsidRPr="005F0736">
              <w:rPr>
                <w:rFonts w:asciiTheme="minorHAnsi" w:hAnsiTheme="minorHAnsi"/>
              </w:rPr>
              <w:t>10%</w:t>
            </w:r>
          </w:p>
        </w:tc>
      </w:tr>
    </w:tbl>
    <w:p w:rsidR="005F0736" w:rsidRDefault="005F07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F0736" w:rsidRDefault="005F0736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  <w:gridCol w:w="2911"/>
      </w:tblGrid>
      <w:tr w:rsidR="00967C6F" w:rsidRPr="006D0990" w:rsidTr="00E5772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090033" w:rsidRPr="006D0990" w:rsidTr="00563A14">
        <w:trPr>
          <w:jc w:val="center"/>
        </w:trPr>
        <w:tc>
          <w:tcPr>
            <w:tcW w:w="1300" w:type="dxa"/>
            <w:vAlign w:val="center"/>
          </w:tcPr>
          <w:p w:rsidR="00090033" w:rsidRPr="00090033" w:rsidRDefault="00090033" w:rsidP="00563A14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 w:rsidRPr="00090033">
              <w:rPr>
                <w:rFonts w:ascii="Calibri" w:hAnsi="Calibri"/>
              </w:rPr>
              <w:t>1-2</w:t>
            </w:r>
          </w:p>
        </w:tc>
        <w:tc>
          <w:tcPr>
            <w:tcW w:w="6662" w:type="dxa"/>
            <w:vAlign w:val="center"/>
          </w:tcPr>
          <w:p w:rsidR="00C02340" w:rsidRDefault="00C02340" w:rsidP="00C02340">
            <w:r>
              <w:rPr>
                <w:rFonts w:asciiTheme="minorHAnsi" w:hAnsiTheme="minorHAnsi"/>
              </w:rPr>
              <w:t xml:space="preserve">Motivation for Telecom Systems </w:t>
            </w:r>
            <w:r>
              <w:t>Introduction to Basic Telephone System. Introduction to basic switching systems. Introduction to OSP. Establishment of local call. Establishment of National call</w:t>
            </w:r>
          </w:p>
          <w:p w:rsidR="00090033" w:rsidRPr="00090033" w:rsidRDefault="00C02340" w:rsidP="00C02340">
            <w:pPr>
              <w:rPr>
                <w:rFonts w:asciiTheme="minorHAnsi" w:hAnsiTheme="minorHAnsi"/>
              </w:rPr>
            </w:pPr>
            <w:r>
              <w:t>Establishment of International call.</w:t>
            </w:r>
            <w:r w:rsidR="00F002F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090033" w:rsidRPr="00090033" w:rsidRDefault="00F002FB" w:rsidP="003E48E5">
            <w:pPr>
              <w:snapToGrid w:val="0"/>
              <w:spacing w:line="240" w:lineRule="atLeast"/>
              <w:jc w:val="center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t>T.B</w:t>
            </w:r>
            <w:r w:rsidR="00ED18DE">
              <w:rPr>
                <w:rFonts w:ascii="Calibri" w:hAnsi="Calibri"/>
                <w:color w:val="000000"/>
                <w:spacing w:val="1"/>
              </w:rPr>
              <w:t>¹</w:t>
            </w:r>
            <w:r>
              <w:rPr>
                <w:rFonts w:ascii="Calibri" w:hAnsi="Calibri"/>
                <w:color w:val="000000"/>
                <w:spacing w:val="1"/>
              </w:rPr>
              <w:t xml:space="preserve"> 1.1</w:t>
            </w:r>
            <w:r w:rsidR="00090033" w:rsidRPr="00090033">
              <w:rPr>
                <w:rFonts w:ascii="Calibri" w:hAnsi="Calibri"/>
                <w:color w:val="000000"/>
                <w:spacing w:val="1"/>
              </w:rPr>
              <w:t xml:space="preserve"> – </w:t>
            </w:r>
            <w:r>
              <w:rPr>
                <w:rFonts w:ascii="Calibri" w:hAnsi="Calibri"/>
                <w:color w:val="000000"/>
                <w:spacing w:val="1"/>
              </w:rPr>
              <w:t>1.7</w:t>
            </w:r>
          </w:p>
        </w:tc>
      </w:tr>
      <w:tr w:rsidR="00090033" w:rsidRPr="006D0990" w:rsidTr="00563A14">
        <w:trPr>
          <w:jc w:val="center"/>
        </w:trPr>
        <w:tc>
          <w:tcPr>
            <w:tcW w:w="1300" w:type="dxa"/>
            <w:vAlign w:val="center"/>
          </w:tcPr>
          <w:p w:rsidR="00090033" w:rsidRPr="00090033" w:rsidRDefault="00090033" w:rsidP="00563A14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 w:rsidRPr="00090033">
              <w:rPr>
                <w:rFonts w:ascii="Calibri" w:hAnsi="Calibri"/>
              </w:rPr>
              <w:t>3-5</w:t>
            </w:r>
          </w:p>
        </w:tc>
        <w:tc>
          <w:tcPr>
            <w:tcW w:w="6662" w:type="dxa"/>
            <w:vAlign w:val="center"/>
          </w:tcPr>
          <w:p w:rsidR="00090033" w:rsidRPr="00090033" w:rsidRDefault="00C02340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Mechanical Switching, Electromechanical Switching, Electronic Switching. Digital Switching.</w:t>
            </w:r>
          </w:p>
        </w:tc>
        <w:tc>
          <w:tcPr>
            <w:tcW w:w="2911" w:type="dxa"/>
            <w:vAlign w:val="center"/>
          </w:tcPr>
          <w:p w:rsidR="00090033" w:rsidRDefault="00F002FB" w:rsidP="003E48E5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</w:t>
            </w:r>
            <w:r w:rsidR="00ED18DE">
              <w:rPr>
                <w:rFonts w:ascii="Calibri" w:hAnsi="Calibri"/>
              </w:rPr>
              <w:t>¹</w:t>
            </w:r>
            <w:r w:rsidR="00BF16C7">
              <w:rPr>
                <w:rFonts w:ascii="Calibri" w:hAnsi="Calibri"/>
              </w:rPr>
              <w:t xml:space="preserve"> 3.1 – 3</w:t>
            </w:r>
            <w:r>
              <w:rPr>
                <w:rFonts w:ascii="Calibri" w:hAnsi="Calibri"/>
              </w:rPr>
              <w:t>.</w:t>
            </w:r>
            <w:r w:rsidR="00C00ADF">
              <w:rPr>
                <w:rFonts w:ascii="Calibri" w:hAnsi="Calibri"/>
              </w:rPr>
              <w:t>7</w:t>
            </w:r>
          </w:p>
          <w:p w:rsidR="00366890" w:rsidRPr="00090033" w:rsidRDefault="00366890" w:rsidP="00C00ADF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T.B</w:t>
            </w:r>
            <w:r w:rsidR="00ED18DE">
              <w:rPr>
                <w:rFonts w:ascii="Calibri" w:hAnsi="Calibri"/>
              </w:rPr>
              <w:t>¹</w:t>
            </w:r>
            <w:r>
              <w:rPr>
                <w:rFonts w:ascii="Calibri" w:hAnsi="Calibri"/>
              </w:rPr>
              <w:t xml:space="preserve"> </w:t>
            </w:r>
            <w:r w:rsidR="00C00ADF">
              <w:rPr>
                <w:rFonts w:ascii="Calibri" w:hAnsi="Calibri"/>
              </w:rPr>
              <w:t>3.10</w:t>
            </w:r>
            <w:r>
              <w:rPr>
                <w:rFonts w:ascii="Calibri" w:hAnsi="Calibri"/>
              </w:rPr>
              <w:t xml:space="preserve"> – </w:t>
            </w:r>
            <w:r w:rsidR="00C00AD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 w:rsidR="00C00ADF">
              <w:rPr>
                <w:rFonts w:ascii="Calibri" w:hAnsi="Calibri"/>
              </w:rPr>
              <w:t>13</w:t>
            </w:r>
          </w:p>
        </w:tc>
      </w:tr>
      <w:tr w:rsidR="00090033" w:rsidRPr="006D0990" w:rsidTr="00563A14">
        <w:trPr>
          <w:jc w:val="center"/>
        </w:trPr>
        <w:tc>
          <w:tcPr>
            <w:tcW w:w="1300" w:type="dxa"/>
            <w:vAlign w:val="center"/>
          </w:tcPr>
          <w:p w:rsidR="00090033" w:rsidRPr="00090033" w:rsidRDefault="00090033" w:rsidP="00563A14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 w:rsidRPr="00090033">
              <w:rPr>
                <w:rFonts w:ascii="Calibri" w:hAnsi="Calibri"/>
              </w:rPr>
              <w:t>6-8</w:t>
            </w:r>
          </w:p>
        </w:tc>
        <w:tc>
          <w:tcPr>
            <w:tcW w:w="6662" w:type="dxa"/>
            <w:vAlign w:val="center"/>
          </w:tcPr>
          <w:p w:rsidR="00090033" w:rsidRPr="00090033" w:rsidRDefault="00C02340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VoIP,  Soft - switch, Media Gateway and NGN Network </w:t>
            </w:r>
          </w:p>
        </w:tc>
        <w:tc>
          <w:tcPr>
            <w:tcW w:w="2911" w:type="dxa"/>
            <w:vAlign w:val="center"/>
          </w:tcPr>
          <w:p w:rsidR="00090033" w:rsidRDefault="00090033" w:rsidP="00C00ADF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 w:rsidRPr="00090033">
              <w:rPr>
                <w:rFonts w:ascii="Calibri" w:hAnsi="Calibri"/>
              </w:rPr>
              <w:t>TB</w:t>
            </w:r>
            <w:r w:rsidR="00ED18DE">
              <w:rPr>
                <w:rFonts w:ascii="Calibri" w:hAnsi="Calibri"/>
              </w:rPr>
              <w:t>¹</w:t>
            </w:r>
            <w:r w:rsidRPr="00090033">
              <w:rPr>
                <w:rFonts w:ascii="Calibri" w:hAnsi="Calibri"/>
              </w:rPr>
              <w:t xml:space="preserve"> </w:t>
            </w:r>
            <w:r w:rsidR="00C00ADF">
              <w:rPr>
                <w:rFonts w:ascii="Calibri" w:hAnsi="Calibri"/>
              </w:rPr>
              <w:t>9.1 –9</w:t>
            </w:r>
            <w:r w:rsidRPr="00090033">
              <w:rPr>
                <w:rFonts w:ascii="Calibri" w:hAnsi="Calibri"/>
              </w:rPr>
              <w:t>.</w:t>
            </w:r>
            <w:r w:rsidR="00C00ADF">
              <w:rPr>
                <w:rFonts w:ascii="Calibri" w:hAnsi="Calibri"/>
              </w:rPr>
              <w:t>2</w:t>
            </w:r>
          </w:p>
          <w:p w:rsidR="00C00ADF" w:rsidRDefault="00C00ADF" w:rsidP="00C00ADF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9.3.1-9.3.3</w:t>
            </w:r>
          </w:p>
          <w:p w:rsidR="00C00ADF" w:rsidRPr="00090033" w:rsidRDefault="00C00ADF" w:rsidP="00C00ADF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9.5</w:t>
            </w:r>
          </w:p>
        </w:tc>
      </w:tr>
      <w:tr w:rsidR="00090033" w:rsidRPr="006D0990" w:rsidTr="00563A14">
        <w:trPr>
          <w:jc w:val="center"/>
        </w:trPr>
        <w:tc>
          <w:tcPr>
            <w:tcW w:w="1300" w:type="dxa"/>
            <w:vAlign w:val="center"/>
          </w:tcPr>
          <w:p w:rsidR="00090033" w:rsidRPr="00090033" w:rsidRDefault="00090033" w:rsidP="00563A14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 w:rsidRPr="00090033">
              <w:rPr>
                <w:rFonts w:ascii="Calibri" w:hAnsi="Calibri"/>
              </w:rPr>
              <w:t>9-11</w:t>
            </w:r>
          </w:p>
        </w:tc>
        <w:tc>
          <w:tcPr>
            <w:tcW w:w="6662" w:type="dxa"/>
            <w:vAlign w:val="center"/>
          </w:tcPr>
          <w:p w:rsidR="00090033" w:rsidRPr="00090033" w:rsidRDefault="00C02340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Packet Switching</w:t>
            </w:r>
            <w:r w:rsidR="004B2DCF">
              <w:rPr>
                <w:rFonts w:asciiTheme="minorHAnsi" w:hAnsiTheme="minorHAnsi"/>
              </w:rPr>
              <w:t>, Telecom Traffic , Congestion, Traffic measurements, Queuing Systems, Lost Call system, Signaling Systems</w:t>
            </w:r>
          </w:p>
        </w:tc>
        <w:tc>
          <w:tcPr>
            <w:tcW w:w="2911" w:type="dxa"/>
            <w:vAlign w:val="center"/>
          </w:tcPr>
          <w:p w:rsidR="00090033" w:rsidRDefault="001F0591" w:rsidP="00C00ADF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</w:t>
            </w:r>
            <w:r w:rsidR="00ED18DE">
              <w:rPr>
                <w:rFonts w:ascii="Calibri" w:hAnsi="Calibri"/>
              </w:rPr>
              <w:t>¹</w:t>
            </w:r>
            <w:r>
              <w:rPr>
                <w:rFonts w:ascii="Calibri" w:hAnsi="Calibri"/>
              </w:rPr>
              <w:t xml:space="preserve"> </w:t>
            </w:r>
            <w:r w:rsidR="00C00ADF">
              <w:rPr>
                <w:rFonts w:ascii="Calibri" w:hAnsi="Calibri"/>
              </w:rPr>
              <w:t>9.4, 4.1 - 4.7</w:t>
            </w:r>
          </w:p>
          <w:p w:rsidR="00C00ADF" w:rsidRPr="00090033" w:rsidRDefault="00C00ADF" w:rsidP="00C00ADF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</w:p>
        </w:tc>
      </w:tr>
      <w:tr w:rsidR="00090033" w:rsidRPr="006D0990" w:rsidTr="00563A14">
        <w:trPr>
          <w:jc w:val="center"/>
        </w:trPr>
        <w:tc>
          <w:tcPr>
            <w:tcW w:w="1300" w:type="dxa"/>
            <w:vAlign w:val="center"/>
          </w:tcPr>
          <w:p w:rsidR="00090033" w:rsidRPr="00090033" w:rsidRDefault="00090033" w:rsidP="00563A14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 w:rsidRPr="00090033">
              <w:rPr>
                <w:rFonts w:ascii="Calibri" w:hAnsi="Calibri"/>
              </w:rPr>
              <w:t>12-15</w:t>
            </w:r>
          </w:p>
        </w:tc>
        <w:tc>
          <w:tcPr>
            <w:tcW w:w="6662" w:type="dxa"/>
            <w:vAlign w:val="center"/>
          </w:tcPr>
          <w:p w:rsidR="00090033" w:rsidRPr="00090033" w:rsidRDefault="004B2DC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Transmission Systems, Z12F, Coaxial Cable System, Radio Transmission System Including Microwave System</w:t>
            </w:r>
          </w:p>
        </w:tc>
        <w:tc>
          <w:tcPr>
            <w:tcW w:w="2911" w:type="dxa"/>
            <w:vAlign w:val="center"/>
          </w:tcPr>
          <w:p w:rsidR="00090033" w:rsidRPr="00090033" w:rsidRDefault="00090033" w:rsidP="00222733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 w:rsidRPr="00090033">
              <w:rPr>
                <w:rFonts w:ascii="Calibri" w:hAnsi="Calibri"/>
              </w:rPr>
              <w:t>TB</w:t>
            </w:r>
            <w:r w:rsidR="00C00ADF">
              <w:rPr>
                <w:rFonts w:ascii="Calibri" w:hAnsi="Calibri"/>
              </w:rPr>
              <w:t xml:space="preserve"> 2.1 – 2</w:t>
            </w:r>
            <w:r w:rsidRPr="00090033">
              <w:rPr>
                <w:rFonts w:ascii="Calibri" w:hAnsi="Calibri"/>
              </w:rPr>
              <w:t>.</w:t>
            </w:r>
            <w:r w:rsidR="00ED18DE">
              <w:rPr>
                <w:rFonts w:ascii="Calibri" w:hAnsi="Calibri"/>
              </w:rPr>
              <w:t>6</w:t>
            </w:r>
          </w:p>
        </w:tc>
      </w:tr>
      <w:tr w:rsidR="00967C6F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C62789" w:rsidRDefault="00967C6F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A651AA" w:rsidRPr="006D0990" w:rsidTr="00563A14">
        <w:trPr>
          <w:jc w:val="center"/>
        </w:trPr>
        <w:tc>
          <w:tcPr>
            <w:tcW w:w="1300" w:type="dxa"/>
            <w:vAlign w:val="center"/>
          </w:tcPr>
          <w:p w:rsidR="00A651AA" w:rsidRPr="00226783" w:rsidRDefault="00A651AA" w:rsidP="00563A1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26783">
              <w:rPr>
                <w:rFonts w:asciiTheme="minorHAnsi" w:hAnsiTheme="minorHAnsi"/>
              </w:rPr>
              <w:t>17 - 24</w:t>
            </w:r>
          </w:p>
        </w:tc>
        <w:tc>
          <w:tcPr>
            <w:tcW w:w="6662" w:type="dxa"/>
            <w:vAlign w:val="center"/>
          </w:tcPr>
          <w:p w:rsidR="00EA5375" w:rsidRDefault="00EA5375" w:rsidP="00831DFD">
            <w:r>
              <w:t xml:space="preserve">Basic </w:t>
            </w:r>
            <w:proofErr w:type="gramStart"/>
            <w:r>
              <w:t>V.F  Bandwidth</w:t>
            </w:r>
            <w:proofErr w:type="gramEnd"/>
            <w:r>
              <w:t>, ITU-T standards</w:t>
            </w:r>
            <w:r w:rsidR="00831DFD">
              <w:t xml:space="preserve">. </w:t>
            </w:r>
            <w:r>
              <w:t>S</w:t>
            </w:r>
            <w:r w:rsidR="00831DFD">
              <w:t>am</w:t>
            </w:r>
            <w:r>
              <w:t>pling</w:t>
            </w:r>
            <w:r w:rsidR="00831DFD">
              <w:t xml:space="preserve">, </w:t>
            </w:r>
            <w:r>
              <w:t>Quantizing</w:t>
            </w:r>
            <w:r w:rsidR="00831DFD">
              <w:t>,</w:t>
            </w:r>
          </w:p>
          <w:p w:rsidR="00EA5375" w:rsidRDefault="00EA5375" w:rsidP="00831DFD">
            <w:r>
              <w:t>Uniform Quantizing</w:t>
            </w:r>
            <w:r w:rsidR="00831DFD">
              <w:t xml:space="preserve">, </w:t>
            </w:r>
            <w:r>
              <w:t>Quantization Noise</w:t>
            </w:r>
            <w:r w:rsidR="00831DFD">
              <w:t xml:space="preserve">, </w:t>
            </w:r>
            <w:r>
              <w:t>Quantization Detail</w:t>
            </w:r>
          </w:p>
          <w:p w:rsidR="00B21202" w:rsidRPr="00B21202" w:rsidRDefault="00EA5375" w:rsidP="00BF16C7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t>Companding</w:t>
            </w:r>
            <w:proofErr w:type="spellEnd"/>
            <w:r w:rsidR="00831DFD">
              <w:t xml:space="preserve"> ,</w:t>
            </w:r>
            <w:proofErr w:type="gramEnd"/>
            <w:r w:rsidR="00831DFD">
              <w:t xml:space="preserve"> </w:t>
            </w:r>
            <w:r>
              <w:t>A-LAW</w:t>
            </w:r>
            <w:r w:rsidR="00BF16C7">
              <w:t>,</w:t>
            </w:r>
            <w:r>
              <w:t>µ-Law</w:t>
            </w:r>
            <w:r w:rsidR="00BF16C7">
              <w:t xml:space="preserve">. </w:t>
            </w:r>
            <w:r>
              <w:t>Encoders</w:t>
            </w:r>
            <w:r w:rsidR="00BF16C7">
              <w:t xml:space="preserve">, </w:t>
            </w:r>
            <w:r>
              <w:t xml:space="preserve">Operating Principle of the iterative </w:t>
            </w:r>
            <w:proofErr w:type="spellStart"/>
            <w:r>
              <w:t>encoder</w:t>
            </w:r>
            <w:proofErr w:type="gramStart"/>
            <w:r w:rsidR="00BF16C7">
              <w:t>,</w:t>
            </w:r>
            <w:r>
              <w:t>Recent</w:t>
            </w:r>
            <w:proofErr w:type="spellEnd"/>
            <w:proofErr w:type="gramEnd"/>
            <w:r>
              <w:t xml:space="preserve"> Coding development</w:t>
            </w:r>
            <w:r w:rsidR="00BF16C7">
              <w:t>.</w:t>
            </w:r>
          </w:p>
        </w:tc>
        <w:tc>
          <w:tcPr>
            <w:tcW w:w="2911" w:type="dxa"/>
            <w:vAlign w:val="center"/>
          </w:tcPr>
          <w:p w:rsidR="00A651AA" w:rsidRPr="00A651AA" w:rsidRDefault="00C00ADF" w:rsidP="00C00ADF">
            <w:pPr>
              <w:spacing w:line="360" w:lineRule="auto"/>
              <w:jc w:val="center"/>
              <w:rPr>
                <w:rFonts w:asciiTheme="minorHAnsi" w:hAnsiTheme="minorHAnsi"/>
                <w:b/>
                <w:strike/>
                <w:color w:val="FF0000"/>
              </w:rPr>
            </w:pPr>
            <w:r>
              <w:rPr>
                <w:rFonts w:ascii="Calibri" w:hAnsi="Calibri"/>
              </w:rPr>
              <w:t>R</w:t>
            </w:r>
            <w:r w:rsidR="00A651AA">
              <w:rPr>
                <w:rFonts w:ascii="Calibri" w:hAnsi="Calibri"/>
              </w:rPr>
              <w:t>B</w:t>
            </w:r>
            <w:r w:rsidR="00921A2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2.1 – 2</w:t>
            </w:r>
            <w:r w:rsidR="00921A28">
              <w:rPr>
                <w:rFonts w:ascii="Calibri" w:hAnsi="Calibri"/>
              </w:rPr>
              <w:t>.4</w:t>
            </w:r>
          </w:p>
        </w:tc>
      </w:tr>
      <w:tr w:rsidR="00A651AA" w:rsidRPr="006D0990" w:rsidTr="00563A14">
        <w:trPr>
          <w:jc w:val="center"/>
        </w:trPr>
        <w:tc>
          <w:tcPr>
            <w:tcW w:w="1300" w:type="dxa"/>
            <w:vAlign w:val="center"/>
          </w:tcPr>
          <w:p w:rsidR="00A651AA" w:rsidRPr="00226783" w:rsidRDefault="00A651AA" w:rsidP="00563A1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26783">
              <w:rPr>
                <w:rFonts w:asciiTheme="minorHAnsi" w:hAnsiTheme="minorHAnsi"/>
              </w:rPr>
              <w:t>25-27</w:t>
            </w:r>
          </w:p>
        </w:tc>
        <w:tc>
          <w:tcPr>
            <w:tcW w:w="6662" w:type="dxa"/>
            <w:vAlign w:val="center"/>
          </w:tcPr>
          <w:p w:rsidR="00A651AA" w:rsidRPr="00226783" w:rsidRDefault="00BF16C7" w:rsidP="00BF16C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Plesiochronous</w:t>
            </w:r>
            <w:proofErr w:type="spellEnd"/>
            <w:r>
              <w:rPr>
                <w:rFonts w:asciiTheme="minorHAnsi" w:hAnsiTheme="minorHAnsi"/>
              </w:rPr>
              <w:t xml:space="preserve"> Digital Hierarchy, 1</w:t>
            </w:r>
            <w:r w:rsidRPr="00BF16C7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IInd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IIIrd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IVth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Vth</w:t>
            </w:r>
            <w:proofErr w:type="spellEnd"/>
            <w:r>
              <w:rPr>
                <w:rFonts w:asciiTheme="minorHAnsi" w:hAnsiTheme="minorHAnsi"/>
              </w:rPr>
              <w:t xml:space="preserve"> Order System, Synchronous Digital Hierarchy, </w:t>
            </w:r>
            <w:proofErr w:type="spellStart"/>
            <w:r>
              <w:rPr>
                <w:rFonts w:asciiTheme="minorHAnsi" w:hAnsiTheme="minorHAnsi"/>
              </w:rPr>
              <w:t>Sychronous</w:t>
            </w:r>
            <w:proofErr w:type="spellEnd"/>
            <w:r>
              <w:rPr>
                <w:rFonts w:asciiTheme="minorHAnsi" w:hAnsiTheme="minorHAnsi"/>
              </w:rPr>
              <w:t xml:space="preserve"> Optical Network, Framing and </w:t>
            </w:r>
            <w:proofErr w:type="spellStart"/>
            <w:r>
              <w:rPr>
                <w:rFonts w:asciiTheme="minorHAnsi" w:hAnsiTheme="minorHAnsi"/>
              </w:rPr>
              <w:t>Mulitplexing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911" w:type="dxa"/>
            <w:vAlign w:val="center"/>
          </w:tcPr>
          <w:p w:rsidR="00A651AA" w:rsidRPr="00226783" w:rsidRDefault="00222733" w:rsidP="003E48E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RB 2.5-2.6</w:t>
            </w:r>
          </w:p>
        </w:tc>
      </w:tr>
      <w:tr w:rsidR="00A651AA" w:rsidRPr="006D0990" w:rsidTr="00563A14">
        <w:trPr>
          <w:jc w:val="center"/>
        </w:trPr>
        <w:tc>
          <w:tcPr>
            <w:tcW w:w="1300" w:type="dxa"/>
            <w:vAlign w:val="center"/>
          </w:tcPr>
          <w:p w:rsidR="00A651AA" w:rsidRPr="00226783" w:rsidRDefault="00A651AA" w:rsidP="00563A1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26783">
              <w:rPr>
                <w:rFonts w:asciiTheme="minorHAnsi" w:hAnsiTheme="minorHAnsi"/>
              </w:rPr>
              <w:t>28-30</w:t>
            </w:r>
          </w:p>
        </w:tc>
        <w:tc>
          <w:tcPr>
            <w:tcW w:w="6662" w:type="dxa"/>
            <w:vAlign w:val="center"/>
          </w:tcPr>
          <w:p w:rsidR="00A651AA" w:rsidRPr="00226783" w:rsidRDefault="000F0681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Overview of WDM, Passive Optical Couplers, Isolators and Circulators, Fiber Grating Filters, Dielectric Thin film filters,</w:t>
            </w:r>
          </w:p>
        </w:tc>
        <w:tc>
          <w:tcPr>
            <w:tcW w:w="2911" w:type="dxa"/>
            <w:vAlign w:val="center"/>
          </w:tcPr>
          <w:p w:rsidR="00126B86" w:rsidRPr="00226783" w:rsidRDefault="00126B86" w:rsidP="003E48E5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</w:t>
            </w:r>
            <w:r w:rsidR="00222733">
              <w:rPr>
                <w:rFonts w:ascii="Calibri" w:hAnsi="Calibri"/>
              </w:rPr>
              <w:t>(2)</w:t>
            </w:r>
            <w:r w:rsidR="000F0681">
              <w:rPr>
                <w:rFonts w:ascii="Calibri" w:hAnsi="Calibri"/>
              </w:rPr>
              <w:t xml:space="preserve"> 10</w:t>
            </w:r>
            <w:r>
              <w:rPr>
                <w:rFonts w:ascii="Calibri" w:hAnsi="Calibri"/>
              </w:rPr>
              <w:t>.1</w:t>
            </w:r>
            <w:r w:rsidR="000F0681">
              <w:rPr>
                <w:rFonts w:ascii="Calibri" w:hAnsi="Calibri"/>
              </w:rPr>
              <w:t>-10.5</w:t>
            </w:r>
          </w:p>
        </w:tc>
      </w:tr>
      <w:tr w:rsidR="00A651AA" w:rsidRPr="006D0990" w:rsidTr="00563A14">
        <w:trPr>
          <w:jc w:val="center"/>
        </w:trPr>
        <w:tc>
          <w:tcPr>
            <w:tcW w:w="1300" w:type="dxa"/>
            <w:vAlign w:val="center"/>
          </w:tcPr>
          <w:p w:rsidR="00A651AA" w:rsidRPr="00226783" w:rsidRDefault="00A651AA" w:rsidP="00563A1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226783">
              <w:rPr>
                <w:rFonts w:asciiTheme="minorHAnsi" w:hAnsiTheme="minorHAnsi"/>
              </w:rPr>
              <w:t>31-32</w:t>
            </w:r>
          </w:p>
        </w:tc>
        <w:tc>
          <w:tcPr>
            <w:tcW w:w="6662" w:type="dxa"/>
            <w:vAlign w:val="center"/>
          </w:tcPr>
          <w:p w:rsidR="00A651AA" w:rsidRPr="00226783" w:rsidRDefault="00BF16C7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Optical Networks </w:t>
            </w:r>
            <w:r w:rsidR="000F5A68">
              <w:rPr>
                <w:rFonts w:ascii="Calibri" w:hAnsi="Calibri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A651AA" w:rsidRPr="000F5A68" w:rsidRDefault="00222733" w:rsidP="003E48E5">
            <w:pPr>
              <w:snapToGrid w:val="0"/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TB(2)</w:t>
            </w:r>
            <w:r w:rsidR="00A651AA" w:rsidRPr="00226783">
              <w:rPr>
                <w:rFonts w:ascii="Calibri" w:hAnsi="Calibri"/>
              </w:rPr>
              <w:t xml:space="preserve"> 1</w:t>
            </w:r>
            <w:r w:rsidR="000F5A68">
              <w:rPr>
                <w:rFonts w:ascii="Calibri" w:hAnsi="Calibri"/>
              </w:rPr>
              <w:t>1</w:t>
            </w:r>
            <w:r w:rsidR="00A651AA" w:rsidRPr="00226783">
              <w:rPr>
                <w:rFonts w:ascii="Calibri" w:hAnsi="Calibri"/>
              </w:rPr>
              <w:t>.1 – 1</w:t>
            </w:r>
            <w:r w:rsidR="000F5A68">
              <w:rPr>
                <w:rFonts w:ascii="Calibri" w:hAnsi="Calibri"/>
              </w:rPr>
              <w:t>1</w:t>
            </w:r>
            <w:r w:rsidR="00A651AA" w:rsidRPr="00226783">
              <w:rPr>
                <w:rFonts w:ascii="Calibri" w:hAnsi="Calibri"/>
              </w:rPr>
              <w:t>.</w:t>
            </w:r>
            <w:r w:rsidR="00247CC8">
              <w:rPr>
                <w:rFonts w:ascii="Calibri" w:hAnsi="Calibri"/>
              </w:rPr>
              <w:t>5</w:t>
            </w:r>
          </w:p>
        </w:tc>
      </w:tr>
      <w:tr w:rsidR="00A651AA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A651AA" w:rsidRPr="006D0990" w:rsidRDefault="00A651AA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19142B">
      <w:pgSz w:w="11909" w:h="16834" w:code="9"/>
      <w:pgMar w:top="432" w:right="1152" w:bottom="432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9B01A8"/>
    <w:multiLevelType w:val="hybridMultilevel"/>
    <w:tmpl w:val="959617C8"/>
    <w:lvl w:ilvl="0" w:tplc="73FE42F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55452CD"/>
    <w:multiLevelType w:val="hybridMultilevel"/>
    <w:tmpl w:val="977E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4696E"/>
    <w:multiLevelType w:val="hybridMultilevel"/>
    <w:tmpl w:val="B0BA86DC"/>
    <w:lvl w:ilvl="0" w:tplc="73FE42F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D6104"/>
    <w:multiLevelType w:val="hybridMultilevel"/>
    <w:tmpl w:val="E86408C4"/>
    <w:lvl w:ilvl="0" w:tplc="73FE42F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0517CD"/>
    <w:multiLevelType w:val="hybridMultilevel"/>
    <w:tmpl w:val="58FAF124"/>
    <w:lvl w:ilvl="0" w:tplc="73FE42F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77E3BC0"/>
    <w:multiLevelType w:val="hybridMultilevel"/>
    <w:tmpl w:val="ECEE2FE8"/>
    <w:lvl w:ilvl="0" w:tplc="1AF0C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C1809"/>
    <w:multiLevelType w:val="hybridMultilevel"/>
    <w:tmpl w:val="BBBEEA76"/>
    <w:lvl w:ilvl="0" w:tplc="73FE42F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26E37"/>
    <w:multiLevelType w:val="hybridMultilevel"/>
    <w:tmpl w:val="04A0E866"/>
    <w:lvl w:ilvl="0" w:tplc="73FE42F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20"/>
  </w:num>
  <w:num w:numId="18">
    <w:abstractNumId w:val="29"/>
  </w:num>
  <w:num w:numId="19">
    <w:abstractNumId w:val="10"/>
  </w:num>
  <w:num w:numId="20">
    <w:abstractNumId w:val="36"/>
  </w:num>
  <w:num w:numId="21">
    <w:abstractNumId w:val="25"/>
  </w:num>
  <w:num w:numId="22">
    <w:abstractNumId w:val="24"/>
  </w:num>
  <w:num w:numId="23">
    <w:abstractNumId w:val="33"/>
  </w:num>
  <w:num w:numId="24">
    <w:abstractNumId w:val="21"/>
  </w:num>
  <w:num w:numId="25">
    <w:abstractNumId w:val="12"/>
  </w:num>
  <w:num w:numId="26">
    <w:abstractNumId w:val="26"/>
  </w:num>
  <w:num w:numId="27">
    <w:abstractNumId w:val="35"/>
  </w:num>
  <w:num w:numId="28">
    <w:abstractNumId w:val="14"/>
  </w:num>
  <w:num w:numId="29">
    <w:abstractNumId w:val="13"/>
  </w:num>
  <w:num w:numId="30">
    <w:abstractNumId w:val="18"/>
  </w:num>
  <w:num w:numId="31">
    <w:abstractNumId w:val="28"/>
  </w:num>
  <w:num w:numId="32">
    <w:abstractNumId w:val="27"/>
  </w:num>
  <w:num w:numId="33">
    <w:abstractNumId w:val="22"/>
  </w:num>
  <w:num w:numId="34">
    <w:abstractNumId w:val="32"/>
  </w:num>
  <w:num w:numId="35">
    <w:abstractNumId w:val="19"/>
  </w:num>
  <w:num w:numId="36">
    <w:abstractNumId w:val="17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439CD"/>
    <w:rsid w:val="000461AD"/>
    <w:rsid w:val="000620D6"/>
    <w:rsid w:val="00070254"/>
    <w:rsid w:val="00072560"/>
    <w:rsid w:val="00074041"/>
    <w:rsid w:val="00081A86"/>
    <w:rsid w:val="00090033"/>
    <w:rsid w:val="00093673"/>
    <w:rsid w:val="000948F0"/>
    <w:rsid w:val="000A47F9"/>
    <w:rsid w:val="000A6D3C"/>
    <w:rsid w:val="000D45F8"/>
    <w:rsid w:val="000D6E6A"/>
    <w:rsid w:val="000E2B4F"/>
    <w:rsid w:val="000E3867"/>
    <w:rsid w:val="000E7B1F"/>
    <w:rsid w:val="000F0681"/>
    <w:rsid w:val="000F4176"/>
    <w:rsid w:val="000F5A68"/>
    <w:rsid w:val="000F5FD1"/>
    <w:rsid w:val="00106EA0"/>
    <w:rsid w:val="00107D7C"/>
    <w:rsid w:val="00126B86"/>
    <w:rsid w:val="00131CCE"/>
    <w:rsid w:val="00147B3D"/>
    <w:rsid w:val="00154553"/>
    <w:rsid w:val="00182029"/>
    <w:rsid w:val="0019142B"/>
    <w:rsid w:val="001A7A5D"/>
    <w:rsid w:val="001C0C83"/>
    <w:rsid w:val="001E5E99"/>
    <w:rsid w:val="001E7672"/>
    <w:rsid w:val="001F0591"/>
    <w:rsid w:val="001F76BA"/>
    <w:rsid w:val="00203455"/>
    <w:rsid w:val="00203D0D"/>
    <w:rsid w:val="002120FF"/>
    <w:rsid w:val="002131AF"/>
    <w:rsid w:val="00220A04"/>
    <w:rsid w:val="00222733"/>
    <w:rsid w:val="00226783"/>
    <w:rsid w:val="00237A0F"/>
    <w:rsid w:val="00247CC8"/>
    <w:rsid w:val="00250D9B"/>
    <w:rsid w:val="00260125"/>
    <w:rsid w:val="00264389"/>
    <w:rsid w:val="00265DFA"/>
    <w:rsid w:val="002834EF"/>
    <w:rsid w:val="0028371D"/>
    <w:rsid w:val="0029206E"/>
    <w:rsid w:val="002B642B"/>
    <w:rsid w:val="002C5990"/>
    <w:rsid w:val="002D3F87"/>
    <w:rsid w:val="002E734D"/>
    <w:rsid w:val="002F511F"/>
    <w:rsid w:val="00303432"/>
    <w:rsid w:val="0030494C"/>
    <w:rsid w:val="00321C71"/>
    <w:rsid w:val="00334507"/>
    <w:rsid w:val="0033728C"/>
    <w:rsid w:val="00337D62"/>
    <w:rsid w:val="00342D33"/>
    <w:rsid w:val="0034348B"/>
    <w:rsid w:val="00344D26"/>
    <w:rsid w:val="00366890"/>
    <w:rsid w:val="003723C7"/>
    <w:rsid w:val="00382045"/>
    <w:rsid w:val="00385638"/>
    <w:rsid w:val="00386315"/>
    <w:rsid w:val="0039080D"/>
    <w:rsid w:val="0039270C"/>
    <w:rsid w:val="003927B6"/>
    <w:rsid w:val="003A1B07"/>
    <w:rsid w:val="003A6194"/>
    <w:rsid w:val="003C2D79"/>
    <w:rsid w:val="003C3666"/>
    <w:rsid w:val="003E0F23"/>
    <w:rsid w:val="003E48E5"/>
    <w:rsid w:val="003E7B53"/>
    <w:rsid w:val="003F4FC8"/>
    <w:rsid w:val="003F6633"/>
    <w:rsid w:val="003F6B4F"/>
    <w:rsid w:val="0041043E"/>
    <w:rsid w:val="00420D61"/>
    <w:rsid w:val="004328CC"/>
    <w:rsid w:val="004408BD"/>
    <w:rsid w:val="00443B42"/>
    <w:rsid w:val="00453D6B"/>
    <w:rsid w:val="004565DF"/>
    <w:rsid w:val="00461E28"/>
    <w:rsid w:val="00474E1C"/>
    <w:rsid w:val="00481F24"/>
    <w:rsid w:val="0049153B"/>
    <w:rsid w:val="00492414"/>
    <w:rsid w:val="004B2DCF"/>
    <w:rsid w:val="004B59BB"/>
    <w:rsid w:val="004C0F5F"/>
    <w:rsid w:val="004D3DC0"/>
    <w:rsid w:val="004F484F"/>
    <w:rsid w:val="004F56B0"/>
    <w:rsid w:val="004F6537"/>
    <w:rsid w:val="005049FE"/>
    <w:rsid w:val="00504EB5"/>
    <w:rsid w:val="00511E19"/>
    <w:rsid w:val="00512D67"/>
    <w:rsid w:val="0053302F"/>
    <w:rsid w:val="00544F57"/>
    <w:rsid w:val="00547035"/>
    <w:rsid w:val="00563A14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E6C5A"/>
    <w:rsid w:val="005F0197"/>
    <w:rsid w:val="005F0736"/>
    <w:rsid w:val="005F10BA"/>
    <w:rsid w:val="005F48A2"/>
    <w:rsid w:val="005F62BA"/>
    <w:rsid w:val="00604923"/>
    <w:rsid w:val="0061452A"/>
    <w:rsid w:val="00617772"/>
    <w:rsid w:val="00621C26"/>
    <w:rsid w:val="00630B94"/>
    <w:rsid w:val="006539EA"/>
    <w:rsid w:val="00657DFC"/>
    <w:rsid w:val="00660D11"/>
    <w:rsid w:val="00661086"/>
    <w:rsid w:val="00674C55"/>
    <w:rsid w:val="00694E70"/>
    <w:rsid w:val="006A1AD6"/>
    <w:rsid w:val="006C0EFB"/>
    <w:rsid w:val="006D0990"/>
    <w:rsid w:val="006E5E68"/>
    <w:rsid w:val="006F0D5B"/>
    <w:rsid w:val="006F41BB"/>
    <w:rsid w:val="006F5F46"/>
    <w:rsid w:val="006F7C5D"/>
    <w:rsid w:val="00707D79"/>
    <w:rsid w:val="007150E6"/>
    <w:rsid w:val="00715156"/>
    <w:rsid w:val="00732275"/>
    <w:rsid w:val="00732DD1"/>
    <w:rsid w:val="00744558"/>
    <w:rsid w:val="007525B0"/>
    <w:rsid w:val="00755AD0"/>
    <w:rsid w:val="007749BB"/>
    <w:rsid w:val="00780599"/>
    <w:rsid w:val="007933A0"/>
    <w:rsid w:val="007A07BD"/>
    <w:rsid w:val="007A6DAE"/>
    <w:rsid w:val="007B65A7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1DFD"/>
    <w:rsid w:val="00835751"/>
    <w:rsid w:val="00847921"/>
    <w:rsid w:val="00847F35"/>
    <w:rsid w:val="008604FD"/>
    <w:rsid w:val="0088461D"/>
    <w:rsid w:val="00886479"/>
    <w:rsid w:val="00891428"/>
    <w:rsid w:val="00892B3B"/>
    <w:rsid w:val="008B2555"/>
    <w:rsid w:val="008C56A4"/>
    <w:rsid w:val="008D058E"/>
    <w:rsid w:val="008D36B4"/>
    <w:rsid w:val="008E1BE1"/>
    <w:rsid w:val="008E5215"/>
    <w:rsid w:val="008E7FE8"/>
    <w:rsid w:val="008F0F70"/>
    <w:rsid w:val="008F4F5C"/>
    <w:rsid w:val="009129E6"/>
    <w:rsid w:val="00916695"/>
    <w:rsid w:val="00921A28"/>
    <w:rsid w:val="009249E3"/>
    <w:rsid w:val="00933625"/>
    <w:rsid w:val="0094143F"/>
    <w:rsid w:val="0095480D"/>
    <w:rsid w:val="00960DA6"/>
    <w:rsid w:val="00966A88"/>
    <w:rsid w:val="00967C6F"/>
    <w:rsid w:val="00972DB8"/>
    <w:rsid w:val="009751C7"/>
    <w:rsid w:val="009836DD"/>
    <w:rsid w:val="009859D0"/>
    <w:rsid w:val="009922B6"/>
    <w:rsid w:val="009A12CE"/>
    <w:rsid w:val="009A6039"/>
    <w:rsid w:val="009A6867"/>
    <w:rsid w:val="009B26B7"/>
    <w:rsid w:val="009E54B0"/>
    <w:rsid w:val="009E69BA"/>
    <w:rsid w:val="009F1450"/>
    <w:rsid w:val="009F35BC"/>
    <w:rsid w:val="009F614C"/>
    <w:rsid w:val="009F750D"/>
    <w:rsid w:val="00A10F97"/>
    <w:rsid w:val="00A14CEE"/>
    <w:rsid w:val="00A15B47"/>
    <w:rsid w:val="00A36DB6"/>
    <w:rsid w:val="00A374B2"/>
    <w:rsid w:val="00A403F1"/>
    <w:rsid w:val="00A526FB"/>
    <w:rsid w:val="00A55C5C"/>
    <w:rsid w:val="00A651AA"/>
    <w:rsid w:val="00A6692F"/>
    <w:rsid w:val="00A8300A"/>
    <w:rsid w:val="00A849BB"/>
    <w:rsid w:val="00A932CB"/>
    <w:rsid w:val="00A93F9A"/>
    <w:rsid w:val="00A95A87"/>
    <w:rsid w:val="00AA3E9A"/>
    <w:rsid w:val="00AA6F40"/>
    <w:rsid w:val="00AB631F"/>
    <w:rsid w:val="00AC6FA8"/>
    <w:rsid w:val="00AE7C53"/>
    <w:rsid w:val="00B0154B"/>
    <w:rsid w:val="00B21202"/>
    <w:rsid w:val="00B22C8B"/>
    <w:rsid w:val="00B5047A"/>
    <w:rsid w:val="00B560EF"/>
    <w:rsid w:val="00B56101"/>
    <w:rsid w:val="00B603A1"/>
    <w:rsid w:val="00B609A4"/>
    <w:rsid w:val="00B64B66"/>
    <w:rsid w:val="00B753E5"/>
    <w:rsid w:val="00B97450"/>
    <w:rsid w:val="00BA12BA"/>
    <w:rsid w:val="00BA70FD"/>
    <w:rsid w:val="00BA7AFF"/>
    <w:rsid w:val="00BA7C53"/>
    <w:rsid w:val="00BB6752"/>
    <w:rsid w:val="00BC0594"/>
    <w:rsid w:val="00BD0077"/>
    <w:rsid w:val="00BD0463"/>
    <w:rsid w:val="00BD10E3"/>
    <w:rsid w:val="00BD66E9"/>
    <w:rsid w:val="00BF16C7"/>
    <w:rsid w:val="00C00ADF"/>
    <w:rsid w:val="00C011C9"/>
    <w:rsid w:val="00C02340"/>
    <w:rsid w:val="00C051D3"/>
    <w:rsid w:val="00C13681"/>
    <w:rsid w:val="00C1632A"/>
    <w:rsid w:val="00C30060"/>
    <w:rsid w:val="00C30E73"/>
    <w:rsid w:val="00C40BF9"/>
    <w:rsid w:val="00C4230B"/>
    <w:rsid w:val="00C440EE"/>
    <w:rsid w:val="00C558E3"/>
    <w:rsid w:val="00C5797B"/>
    <w:rsid w:val="00C62789"/>
    <w:rsid w:val="00C832A1"/>
    <w:rsid w:val="00C92E41"/>
    <w:rsid w:val="00CA0BA0"/>
    <w:rsid w:val="00CA0D0B"/>
    <w:rsid w:val="00CB3C85"/>
    <w:rsid w:val="00CC1CC8"/>
    <w:rsid w:val="00CC5950"/>
    <w:rsid w:val="00CC7DB8"/>
    <w:rsid w:val="00CF768C"/>
    <w:rsid w:val="00D01C3D"/>
    <w:rsid w:val="00D1063B"/>
    <w:rsid w:val="00D1132B"/>
    <w:rsid w:val="00D123D9"/>
    <w:rsid w:val="00D137B3"/>
    <w:rsid w:val="00D13B72"/>
    <w:rsid w:val="00D22738"/>
    <w:rsid w:val="00D266F8"/>
    <w:rsid w:val="00D34094"/>
    <w:rsid w:val="00D346D3"/>
    <w:rsid w:val="00D35A0C"/>
    <w:rsid w:val="00D37602"/>
    <w:rsid w:val="00D37690"/>
    <w:rsid w:val="00D44478"/>
    <w:rsid w:val="00D50DC3"/>
    <w:rsid w:val="00D5228C"/>
    <w:rsid w:val="00D60339"/>
    <w:rsid w:val="00D76385"/>
    <w:rsid w:val="00D8624A"/>
    <w:rsid w:val="00D92541"/>
    <w:rsid w:val="00DA1F04"/>
    <w:rsid w:val="00DB5916"/>
    <w:rsid w:val="00DC3143"/>
    <w:rsid w:val="00DD1F0F"/>
    <w:rsid w:val="00DE11B1"/>
    <w:rsid w:val="00E0049A"/>
    <w:rsid w:val="00E03403"/>
    <w:rsid w:val="00E039AB"/>
    <w:rsid w:val="00E067AD"/>
    <w:rsid w:val="00E41702"/>
    <w:rsid w:val="00E45431"/>
    <w:rsid w:val="00E53424"/>
    <w:rsid w:val="00E56AEA"/>
    <w:rsid w:val="00E57720"/>
    <w:rsid w:val="00E6038D"/>
    <w:rsid w:val="00E7143F"/>
    <w:rsid w:val="00E74F2B"/>
    <w:rsid w:val="00E822D8"/>
    <w:rsid w:val="00E877B2"/>
    <w:rsid w:val="00E92214"/>
    <w:rsid w:val="00EA4FCF"/>
    <w:rsid w:val="00EA5375"/>
    <w:rsid w:val="00EA5B1C"/>
    <w:rsid w:val="00EB1A83"/>
    <w:rsid w:val="00EB34DD"/>
    <w:rsid w:val="00EC07F6"/>
    <w:rsid w:val="00EC4F22"/>
    <w:rsid w:val="00ED18DE"/>
    <w:rsid w:val="00F002FB"/>
    <w:rsid w:val="00F22516"/>
    <w:rsid w:val="00F24F9D"/>
    <w:rsid w:val="00F32729"/>
    <w:rsid w:val="00F3390C"/>
    <w:rsid w:val="00F551FC"/>
    <w:rsid w:val="00F63D2B"/>
    <w:rsid w:val="00F771F9"/>
    <w:rsid w:val="00F92377"/>
    <w:rsid w:val="00F9514A"/>
    <w:rsid w:val="00FB108A"/>
    <w:rsid w:val="00FB1396"/>
    <w:rsid w:val="00FC3A0C"/>
    <w:rsid w:val="00FD099C"/>
    <w:rsid w:val="00FD3AE1"/>
    <w:rsid w:val="00FD784D"/>
    <w:rsid w:val="00FE1753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id.asghar@umt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5160</cp:lastModifiedBy>
  <cp:revision>2</cp:revision>
  <cp:lastPrinted>2010-10-13T05:38:00Z</cp:lastPrinted>
  <dcterms:created xsi:type="dcterms:W3CDTF">2014-12-04T06:31:00Z</dcterms:created>
  <dcterms:modified xsi:type="dcterms:W3CDTF">2014-12-04T06:31:00Z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