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EB26" w14:textId="77777777" w:rsidR="00186BB3" w:rsidRDefault="00186BB3" w:rsidP="00186BB3">
      <w:pPr>
        <w:pStyle w:val="Header"/>
        <w:jc w:val="center"/>
        <w:rPr>
          <w:b/>
          <w:sz w:val="28"/>
          <w:szCs w:val="28"/>
          <w:u w:val="single"/>
        </w:rPr>
      </w:pPr>
      <w:r>
        <w:rPr>
          <w:b/>
          <w:noProof/>
          <w:sz w:val="28"/>
          <w:szCs w:val="28"/>
          <w:u w:val="single"/>
          <w:lang w:bidi="ar-SA"/>
        </w:rPr>
        <w:drawing>
          <wp:inline distT="0" distB="0" distL="0" distR="0" wp14:anchorId="17D732DB" wp14:editId="35C6BBFF">
            <wp:extent cx="1817505" cy="704850"/>
            <wp:effectExtent l="19050" t="0" r="0" b="0"/>
            <wp:docPr id="14"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6A2DEBC4" w14:textId="77777777" w:rsidR="00186BB3" w:rsidRDefault="00186BB3" w:rsidP="00186BB3">
      <w:pPr>
        <w:pStyle w:val="Header"/>
        <w:jc w:val="center"/>
        <w:rPr>
          <w:b/>
          <w:sz w:val="28"/>
          <w:szCs w:val="28"/>
          <w:u w:val="single"/>
        </w:rPr>
      </w:pPr>
    </w:p>
    <w:p w14:paraId="7EBAABAB" w14:textId="77777777" w:rsidR="00186BB3" w:rsidRPr="006F2EF7" w:rsidRDefault="00186BB3" w:rsidP="00186BB3">
      <w:pPr>
        <w:pStyle w:val="Header"/>
        <w:jc w:val="center"/>
        <w:rPr>
          <w:sz w:val="28"/>
          <w:szCs w:val="28"/>
          <w:u w:val="single"/>
        </w:rPr>
      </w:pPr>
      <w:r w:rsidRPr="006F2EF7">
        <w:rPr>
          <w:b/>
          <w:sz w:val="28"/>
          <w:szCs w:val="28"/>
          <w:u w:val="single"/>
        </w:rPr>
        <w:t>University of Management and Technology</w:t>
      </w:r>
    </w:p>
    <w:p w14:paraId="5A58CDC9" w14:textId="77777777" w:rsidR="0078114A" w:rsidRDefault="0078114A" w:rsidP="00330137">
      <w:pPr>
        <w:spacing w:line="240" w:lineRule="auto"/>
        <w:jc w:val="center"/>
      </w:pPr>
    </w:p>
    <w:p w14:paraId="1BDB6BDE"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4BC5E0F0" w14:textId="77777777" w:rsidR="00782096" w:rsidRDefault="00C43620" w:rsidP="00C43620">
      <w:r>
        <w:t>Course code: PH-764                Course title: Advanced Atomic and Molecular Physics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F37195" w:rsidRPr="006F2EF7" w14:paraId="608879C9" w14:textId="77777777" w:rsidTr="002C0264">
        <w:trPr>
          <w:trHeight w:val="1230"/>
        </w:trPr>
        <w:tc>
          <w:tcPr>
            <w:tcW w:w="1184" w:type="pct"/>
            <w:vAlign w:val="center"/>
          </w:tcPr>
          <w:p w14:paraId="0153475C" w14:textId="77777777" w:rsidR="00F37195" w:rsidRPr="006F2EF7" w:rsidRDefault="00F37195" w:rsidP="002C0264">
            <w:pPr>
              <w:spacing w:after="0" w:line="240" w:lineRule="auto"/>
              <w:rPr>
                <w:szCs w:val="24"/>
              </w:rPr>
            </w:pPr>
            <w:r w:rsidRPr="006F2EF7">
              <w:rPr>
                <w:szCs w:val="24"/>
              </w:rPr>
              <w:t>Program</w:t>
            </w:r>
          </w:p>
        </w:tc>
        <w:tc>
          <w:tcPr>
            <w:tcW w:w="3816" w:type="pct"/>
            <w:vAlign w:val="center"/>
          </w:tcPr>
          <w:p w14:paraId="72E544AC" w14:textId="6F28CC63" w:rsidR="00F37195" w:rsidRPr="006F2EF7" w:rsidRDefault="00826F71" w:rsidP="002C0264">
            <w:pPr>
              <w:spacing w:after="0" w:line="240" w:lineRule="auto"/>
              <w:rPr>
                <w:szCs w:val="24"/>
              </w:rPr>
            </w:pPr>
            <w:r>
              <w:rPr>
                <w:szCs w:val="24"/>
              </w:rPr>
              <w:t>MS/PhD Physics</w:t>
            </w:r>
          </w:p>
        </w:tc>
      </w:tr>
      <w:tr w:rsidR="00F37195" w:rsidRPr="006F2EF7" w14:paraId="54CF7BA8" w14:textId="77777777" w:rsidTr="002C0264">
        <w:trPr>
          <w:trHeight w:val="1140"/>
        </w:trPr>
        <w:tc>
          <w:tcPr>
            <w:tcW w:w="1184" w:type="pct"/>
            <w:vAlign w:val="center"/>
          </w:tcPr>
          <w:p w14:paraId="6EB510C6" w14:textId="77777777" w:rsidR="00F37195" w:rsidRPr="006F2EF7" w:rsidRDefault="00F37195" w:rsidP="002C0264">
            <w:pPr>
              <w:spacing w:after="0" w:line="240" w:lineRule="auto"/>
              <w:rPr>
                <w:szCs w:val="24"/>
              </w:rPr>
            </w:pPr>
            <w:r w:rsidRPr="006F2EF7">
              <w:rPr>
                <w:szCs w:val="24"/>
              </w:rPr>
              <w:t>Credit Hours</w:t>
            </w:r>
          </w:p>
        </w:tc>
        <w:tc>
          <w:tcPr>
            <w:tcW w:w="3816" w:type="pct"/>
            <w:vAlign w:val="center"/>
          </w:tcPr>
          <w:p w14:paraId="33516654" w14:textId="77777777" w:rsidR="00F37195" w:rsidRPr="006F2EF7" w:rsidRDefault="00F37195" w:rsidP="002C0264">
            <w:pPr>
              <w:spacing w:after="0" w:line="240" w:lineRule="auto"/>
              <w:rPr>
                <w:szCs w:val="24"/>
              </w:rPr>
            </w:pPr>
            <w:r w:rsidRPr="006F2EF7">
              <w:rPr>
                <w:szCs w:val="24"/>
              </w:rPr>
              <w:t>03</w:t>
            </w:r>
          </w:p>
        </w:tc>
      </w:tr>
      <w:tr w:rsidR="00F37195" w:rsidRPr="006F2EF7" w14:paraId="0B378415" w14:textId="77777777" w:rsidTr="002C0264">
        <w:trPr>
          <w:trHeight w:val="1140"/>
        </w:trPr>
        <w:tc>
          <w:tcPr>
            <w:tcW w:w="1184" w:type="pct"/>
            <w:vAlign w:val="center"/>
          </w:tcPr>
          <w:p w14:paraId="36C7BF63" w14:textId="77777777" w:rsidR="00F37195" w:rsidRPr="006F2EF7" w:rsidRDefault="00F37195" w:rsidP="002C0264">
            <w:pPr>
              <w:spacing w:after="0" w:line="240" w:lineRule="auto"/>
              <w:rPr>
                <w:szCs w:val="24"/>
              </w:rPr>
            </w:pPr>
            <w:r w:rsidRPr="006F2EF7">
              <w:rPr>
                <w:szCs w:val="24"/>
              </w:rPr>
              <w:t>Duration</w:t>
            </w:r>
          </w:p>
        </w:tc>
        <w:tc>
          <w:tcPr>
            <w:tcW w:w="3816" w:type="pct"/>
            <w:vAlign w:val="center"/>
          </w:tcPr>
          <w:p w14:paraId="28060D43" w14:textId="77777777" w:rsidR="00F37195" w:rsidRPr="006F2EF7" w:rsidRDefault="00F37195" w:rsidP="002C0264">
            <w:pPr>
              <w:spacing w:after="0" w:line="240" w:lineRule="auto"/>
              <w:rPr>
                <w:szCs w:val="24"/>
              </w:rPr>
            </w:pPr>
            <w:r w:rsidRPr="006F2EF7">
              <w:rPr>
                <w:szCs w:val="24"/>
              </w:rPr>
              <w:t>16 weeks</w:t>
            </w:r>
          </w:p>
        </w:tc>
      </w:tr>
      <w:tr w:rsidR="00F37195" w:rsidRPr="006F2EF7" w14:paraId="651C49B8" w14:textId="77777777" w:rsidTr="002C0264">
        <w:trPr>
          <w:trHeight w:val="1230"/>
        </w:trPr>
        <w:tc>
          <w:tcPr>
            <w:tcW w:w="1184" w:type="pct"/>
            <w:vAlign w:val="center"/>
          </w:tcPr>
          <w:p w14:paraId="6BD2CAB4" w14:textId="77777777" w:rsidR="00F37195" w:rsidRPr="006F2EF7" w:rsidRDefault="00F37195" w:rsidP="002C0264">
            <w:pPr>
              <w:spacing w:after="0" w:line="240" w:lineRule="auto"/>
              <w:rPr>
                <w:szCs w:val="24"/>
              </w:rPr>
            </w:pPr>
            <w:r w:rsidRPr="006F2EF7">
              <w:rPr>
                <w:szCs w:val="24"/>
              </w:rPr>
              <w:t>Prerequisites</w:t>
            </w:r>
          </w:p>
        </w:tc>
        <w:tc>
          <w:tcPr>
            <w:tcW w:w="3816" w:type="pct"/>
            <w:vAlign w:val="center"/>
          </w:tcPr>
          <w:p w14:paraId="10B75A9F" w14:textId="77777777" w:rsidR="00F37195" w:rsidRPr="006F2EF7" w:rsidRDefault="00F37195" w:rsidP="002C0264">
            <w:pPr>
              <w:rPr>
                <w:szCs w:val="24"/>
              </w:rPr>
            </w:pPr>
          </w:p>
        </w:tc>
      </w:tr>
      <w:tr w:rsidR="00F37195" w:rsidRPr="006F2EF7" w14:paraId="37BFA9AE" w14:textId="77777777" w:rsidTr="002C0264">
        <w:trPr>
          <w:trHeight w:val="1140"/>
        </w:trPr>
        <w:tc>
          <w:tcPr>
            <w:tcW w:w="1184" w:type="pct"/>
          </w:tcPr>
          <w:p w14:paraId="09450E62" w14:textId="77777777" w:rsidR="00F37195" w:rsidRPr="006F2EF7" w:rsidRDefault="00F37195" w:rsidP="002C0264">
            <w:pPr>
              <w:spacing w:after="0" w:line="240" w:lineRule="auto"/>
              <w:rPr>
                <w:szCs w:val="24"/>
              </w:rPr>
            </w:pPr>
          </w:p>
          <w:p w14:paraId="394586B7" w14:textId="77777777" w:rsidR="00F37195" w:rsidRPr="006F2EF7" w:rsidRDefault="00F37195" w:rsidP="002C0264">
            <w:pPr>
              <w:spacing w:after="0" w:line="240" w:lineRule="auto"/>
              <w:rPr>
                <w:szCs w:val="24"/>
              </w:rPr>
            </w:pPr>
            <w:r w:rsidRPr="006F2EF7">
              <w:rPr>
                <w:szCs w:val="24"/>
              </w:rPr>
              <w:t>Resource Person</w:t>
            </w:r>
          </w:p>
        </w:tc>
        <w:tc>
          <w:tcPr>
            <w:tcW w:w="3816" w:type="pct"/>
          </w:tcPr>
          <w:p w14:paraId="3B4DEE67" w14:textId="77777777" w:rsidR="00F37195" w:rsidRPr="006F2EF7" w:rsidRDefault="00F37195" w:rsidP="002C0264">
            <w:pPr>
              <w:spacing w:after="0" w:line="240" w:lineRule="auto"/>
              <w:rPr>
                <w:szCs w:val="24"/>
              </w:rPr>
            </w:pPr>
          </w:p>
        </w:tc>
      </w:tr>
      <w:tr w:rsidR="00F37195" w:rsidRPr="006F2EF7" w14:paraId="66E42935" w14:textId="77777777" w:rsidTr="002C0264">
        <w:trPr>
          <w:trHeight w:val="1140"/>
        </w:trPr>
        <w:tc>
          <w:tcPr>
            <w:tcW w:w="1184" w:type="pct"/>
          </w:tcPr>
          <w:p w14:paraId="4EDD3DE5" w14:textId="77777777" w:rsidR="00F37195" w:rsidRPr="006F2EF7" w:rsidRDefault="00F37195" w:rsidP="002C0264">
            <w:pPr>
              <w:spacing w:after="0" w:line="240" w:lineRule="auto"/>
              <w:rPr>
                <w:szCs w:val="24"/>
              </w:rPr>
            </w:pPr>
          </w:p>
          <w:p w14:paraId="189C5130" w14:textId="77777777" w:rsidR="00F37195" w:rsidRPr="006F2EF7" w:rsidRDefault="00F37195" w:rsidP="002C0264">
            <w:pPr>
              <w:spacing w:after="0" w:line="240" w:lineRule="auto"/>
              <w:rPr>
                <w:szCs w:val="24"/>
              </w:rPr>
            </w:pPr>
            <w:r w:rsidRPr="006F2EF7">
              <w:rPr>
                <w:szCs w:val="24"/>
              </w:rPr>
              <w:t>Counseling Timing</w:t>
            </w:r>
          </w:p>
          <w:p w14:paraId="3FE34D7E" w14:textId="77777777" w:rsidR="00F37195" w:rsidRPr="006F2EF7" w:rsidRDefault="00F37195" w:rsidP="002C0264">
            <w:pPr>
              <w:spacing w:after="0" w:line="240" w:lineRule="auto"/>
              <w:rPr>
                <w:szCs w:val="24"/>
              </w:rPr>
            </w:pPr>
          </w:p>
          <w:p w14:paraId="0E20B750" w14:textId="77777777" w:rsidR="00F37195" w:rsidRPr="006F2EF7" w:rsidRDefault="00F37195" w:rsidP="002C0264">
            <w:pPr>
              <w:spacing w:after="0" w:line="240" w:lineRule="auto"/>
              <w:rPr>
                <w:szCs w:val="24"/>
              </w:rPr>
            </w:pPr>
            <w:r>
              <w:rPr>
                <w:szCs w:val="24"/>
              </w:rPr>
              <w:t xml:space="preserve">(Room# </w:t>
            </w:r>
            <w:r w:rsidRPr="006F2EF7">
              <w:rPr>
                <w:szCs w:val="24"/>
              </w:rPr>
              <w:t>)</w:t>
            </w:r>
          </w:p>
        </w:tc>
        <w:tc>
          <w:tcPr>
            <w:tcW w:w="3816" w:type="pct"/>
          </w:tcPr>
          <w:p w14:paraId="1825380E" w14:textId="77777777" w:rsidR="00F37195" w:rsidRPr="006F2EF7" w:rsidRDefault="00F37195" w:rsidP="002C0264">
            <w:pPr>
              <w:spacing w:after="0" w:line="240" w:lineRule="auto"/>
              <w:rPr>
                <w:szCs w:val="24"/>
              </w:rPr>
            </w:pPr>
          </w:p>
        </w:tc>
      </w:tr>
      <w:tr w:rsidR="00F37195" w:rsidRPr="006F2EF7" w14:paraId="1C0FC285" w14:textId="77777777" w:rsidTr="002C0264">
        <w:trPr>
          <w:trHeight w:val="1140"/>
        </w:trPr>
        <w:tc>
          <w:tcPr>
            <w:tcW w:w="1184" w:type="pct"/>
          </w:tcPr>
          <w:p w14:paraId="5A0DB1F7" w14:textId="77777777" w:rsidR="00F37195" w:rsidRPr="006F2EF7" w:rsidRDefault="00F37195" w:rsidP="002C0264">
            <w:pPr>
              <w:spacing w:after="0" w:line="240" w:lineRule="auto"/>
              <w:rPr>
                <w:szCs w:val="24"/>
              </w:rPr>
            </w:pPr>
          </w:p>
          <w:p w14:paraId="5A713728" w14:textId="77777777" w:rsidR="00F37195" w:rsidRPr="006F2EF7" w:rsidRDefault="00F37195" w:rsidP="002C0264">
            <w:pPr>
              <w:spacing w:after="0" w:line="240" w:lineRule="auto"/>
              <w:rPr>
                <w:szCs w:val="24"/>
              </w:rPr>
            </w:pPr>
          </w:p>
          <w:p w14:paraId="445DDEFC" w14:textId="77777777" w:rsidR="00F37195" w:rsidRPr="006F2EF7" w:rsidRDefault="00F37195" w:rsidP="002C0264">
            <w:pPr>
              <w:spacing w:after="0" w:line="240" w:lineRule="auto"/>
              <w:rPr>
                <w:szCs w:val="24"/>
              </w:rPr>
            </w:pPr>
            <w:r w:rsidRPr="006F2EF7">
              <w:rPr>
                <w:szCs w:val="24"/>
              </w:rPr>
              <w:t>Contact</w:t>
            </w:r>
          </w:p>
        </w:tc>
        <w:tc>
          <w:tcPr>
            <w:tcW w:w="3816" w:type="pct"/>
          </w:tcPr>
          <w:p w14:paraId="60404123" w14:textId="77777777" w:rsidR="00F37195" w:rsidRPr="006F2EF7" w:rsidRDefault="00F37195" w:rsidP="002C0264">
            <w:pPr>
              <w:spacing w:after="0" w:line="240" w:lineRule="auto"/>
              <w:rPr>
                <w:szCs w:val="24"/>
              </w:rPr>
            </w:pPr>
          </w:p>
        </w:tc>
      </w:tr>
    </w:tbl>
    <w:p w14:paraId="23A623E3" w14:textId="77777777" w:rsidR="00C43620" w:rsidRDefault="00C43620" w:rsidP="00C43620"/>
    <w:p w14:paraId="37BB7E74" w14:textId="77777777" w:rsidR="00F37195" w:rsidRDefault="00F37195" w:rsidP="00C43620"/>
    <w:p w14:paraId="2EEEEA74" w14:textId="77777777" w:rsidR="00C43620" w:rsidRDefault="00C43620" w:rsidP="00C43620">
      <w:pPr>
        <w:rPr>
          <w:b/>
          <w:sz w:val="28"/>
          <w:szCs w:val="28"/>
          <w:u w:val="single"/>
        </w:rPr>
      </w:pPr>
      <w:r>
        <w:rPr>
          <w:b/>
          <w:sz w:val="28"/>
          <w:szCs w:val="28"/>
          <w:u w:val="single"/>
        </w:rPr>
        <w:lastRenderedPageBreak/>
        <w:t>Learning Objective:</w:t>
      </w:r>
    </w:p>
    <w:p w14:paraId="1EA53477" w14:textId="77777777" w:rsidR="00C43620" w:rsidRPr="00F37195" w:rsidRDefault="00C43620" w:rsidP="00C43620">
      <w:pPr>
        <w:rPr>
          <w:b/>
        </w:rPr>
      </w:pPr>
      <w:r>
        <w:t>This course provides an advanced understanding of atomic and molecular structure, fine and hyperfine interactions, molecular bonding, spectra, quantum transitions, selection rules, and advanced spectroscopy techniques. Students will develop strong theoretical foundations and understand how atomic and molecular physics supports lasers, astrophysics, plasma physics, materials science, and quantum technologies.</w:t>
      </w:r>
    </w:p>
    <w:p w14:paraId="42DA8848" w14:textId="77777777" w:rsidR="00C43620" w:rsidRPr="004C3CB9" w:rsidRDefault="00C43620" w:rsidP="00C43620">
      <w:pPr>
        <w:rPr>
          <w:sz w:val="28"/>
          <w:szCs w:val="28"/>
        </w:rPr>
      </w:pPr>
      <w:r w:rsidRPr="00983C9A">
        <w:rPr>
          <w:b/>
          <w:sz w:val="28"/>
          <w:szCs w:val="28"/>
          <w:u w:val="single"/>
        </w:rPr>
        <w:t>Learning Methodology</w:t>
      </w:r>
      <w:r>
        <w:rPr>
          <w:b/>
          <w:sz w:val="28"/>
          <w:szCs w:val="28"/>
          <w:u w:val="single"/>
        </w:rPr>
        <w:t>:</w:t>
      </w:r>
    </w:p>
    <w:p w14:paraId="54AAFDD5" w14:textId="77777777" w:rsidR="00290B81" w:rsidRDefault="00C43620" w:rsidP="00C43620">
      <w:r>
        <w:t>Lectures, mathematical problem‑solving, assignments, quizzes, concept demonstrations, analysis of spectroscopic data, and reading research papers. Students will use computational and analytical approaches to explore atomic and molecular systems and modern applications.</w:t>
      </w:r>
    </w:p>
    <w:p w14:paraId="3ED8BFC0"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1C410DC1" w14:textId="77777777" w:rsidR="00290B81" w:rsidRDefault="00290B81" w:rsidP="00290B81">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0003A4" w:rsidRPr="006F2EF7" w14:paraId="4F57EEC3" w14:textId="77777777" w:rsidTr="002C0264">
        <w:tc>
          <w:tcPr>
            <w:tcW w:w="2500" w:type="pct"/>
          </w:tcPr>
          <w:p w14:paraId="06B97943" w14:textId="77777777" w:rsidR="000003A4" w:rsidRPr="00453A86" w:rsidRDefault="000003A4" w:rsidP="002C0264">
            <w:pPr>
              <w:jc w:val="center"/>
              <w:rPr>
                <w:b/>
                <w:szCs w:val="24"/>
              </w:rPr>
            </w:pPr>
            <w:r w:rsidRPr="00453A86">
              <w:rPr>
                <w:b/>
                <w:szCs w:val="24"/>
              </w:rPr>
              <w:t>Marks Evaluation</w:t>
            </w:r>
          </w:p>
        </w:tc>
        <w:tc>
          <w:tcPr>
            <w:tcW w:w="2500" w:type="pct"/>
          </w:tcPr>
          <w:p w14:paraId="146DB225" w14:textId="77777777" w:rsidR="000003A4" w:rsidRPr="00453A86" w:rsidRDefault="000003A4" w:rsidP="002C0264">
            <w:pPr>
              <w:jc w:val="center"/>
              <w:rPr>
                <w:b/>
                <w:szCs w:val="24"/>
              </w:rPr>
            </w:pPr>
            <w:r w:rsidRPr="00453A86">
              <w:rPr>
                <w:b/>
                <w:szCs w:val="24"/>
              </w:rPr>
              <w:t>Marks in percentage</w:t>
            </w:r>
          </w:p>
        </w:tc>
      </w:tr>
      <w:tr w:rsidR="000003A4" w:rsidRPr="006F2EF7" w14:paraId="0FCDD015" w14:textId="77777777" w:rsidTr="002C0264">
        <w:tc>
          <w:tcPr>
            <w:tcW w:w="2500" w:type="pct"/>
            <w:vAlign w:val="center"/>
          </w:tcPr>
          <w:p w14:paraId="7B6F86F4" w14:textId="77777777" w:rsidR="000003A4" w:rsidRPr="006F2EF7" w:rsidRDefault="000003A4" w:rsidP="002C0264">
            <w:pPr>
              <w:jc w:val="center"/>
              <w:rPr>
                <w:szCs w:val="24"/>
              </w:rPr>
            </w:pPr>
            <w:r w:rsidRPr="006F2EF7">
              <w:rPr>
                <w:szCs w:val="24"/>
              </w:rPr>
              <w:t>Quizzes</w:t>
            </w:r>
          </w:p>
        </w:tc>
        <w:tc>
          <w:tcPr>
            <w:tcW w:w="2500" w:type="pct"/>
            <w:vAlign w:val="center"/>
          </w:tcPr>
          <w:p w14:paraId="00992FDD" w14:textId="77777777" w:rsidR="000003A4" w:rsidRPr="006F2EF7" w:rsidRDefault="000003A4" w:rsidP="002C0264">
            <w:pPr>
              <w:jc w:val="center"/>
              <w:rPr>
                <w:szCs w:val="24"/>
              </w:rPr>
            </w:pPr>
            <w:r w:rsidRPr="006F2EF7">
              <w:rPr>
                <w:szCs w:val="24"/>
              </w:rPr>
              <w:t>10%</w:t>
            </w:r>
          </w:p>
        </w:tc>
      </w:tr>
      <w:tr w:rsidR="000003A4" w:rsidRPr="006F2EF7" w14:paraId="2416CFA2" w14:textId="77777777" w:rsidTr="002C0264">
        <w:tc>
          <w:tcPr>
            <w:tcW w:w="2500" w:type="pct"/>
            <w:vAlign w:val="center"/>
          </w:tcPr>
          <w:p w14:paraId="65B48234" w14:textId="77777777" w:rsidR="000003A4" w:rsidRPr="006F2EF7" w:rsidRDefault="000003A4" w:rsidP="002C0264">
            <w:pPr>
              <w:jc w:val="center"/>
              <w:rPr>
                <w:szCs w:val="24"/>
              </w:rPr>
            </w:pPr>
            <w:r w:rsidRPr="006F2EF7">
              <w:rPr>
                <w:szCs w:val="24"/>
              </w:rPr>
              <w:t>Assignments</w:t>
            </w:r>
          </w:p>
        </w:tc>
        <w:tc>
          <w:tcPr>
            <w:tcW w:w="2500" w:type="pct"/>
            <w:vAlign w:val="center"/>
          </w:tcPr>
          <w:p w14:paraId="58F402A8" w14:textId="77777777" w:rsidR="000003A4" w:rsidRPr="006F2EF7" w:rsidRDefault="000003A4" w:rsidP="002C0264">
            <w:pPr>
              <w:jc w:val="center"/>
              <w:rPr>
                <w:szCs w:val="24"/>
              </w:rPr>
            </w:pPr>
            <w:r w:rsidRPr="006F2EF7">
              <w:rPr>
                <w:szCs w:val="24"/>
              </w:rPr>
              <w:t>10%</w:t>
            </w:r>
          </w:p>
        </w:tc>
      </w:tr>
      <w:tr w:rsidR="000003A4" w:rsidRPr="006F2EF7" w14:paraId="46D3EFE7" w14:textId="77777777" w:rsidTr="002C0264">
        <w:tc>
          <w:tcPr>
            <w:tcW w:w="2500" w:type="pct"/>
            <w:vAlign w:val="center"/>
          </w:tcPr>
          <w:p w14:paraId="1A284336" w14:textId="77777777" w:rsidR="000003A4" w:rsidRPr="006F2EF7" w:rsidRDefault="000003A4" w:rsidP="002C0264">
            <w:pPr>
              <w:jc w:val="center"/>
              <w:rPr>
                <w:szCs w:val="24"/>
              </w:rPr>
            </w:pPr>
            <w:r w:rsidRPr="006F2EF7">
              <w:rPr>
                <w:szCs w:val="24"/>
              </w:rPr>
              <w:t>Mid Term</w:t>
            </w:r>
          </w:p>
        </w:tc>
        <w:tc>
          <w:tcPr>
            <w:tcW w:w="2500" w:type="pct"/>
            <w:vAlign w:val="center"/>
          </w:tcPr>
          <w:p w14:paraId="15A71B6D" w14:textId="77777777" w:rsidR="000003A4" w:rsidRPr="006F2EF7" w:rsidRDefault="000003A4" w:rsidP="002C0264">
            <w:pPr>
              <w:jc w:val="center"/>
              <w:rPr>
                <w:szCs w:val="24"/>
              </w:rPr>
            </w:pPr>
            <w:r w:rsidRPr="006F2EF7">
              <w:rPr>
                <w:szCs w:val="24"/>
              </w:rPr>
              <w:t>20%</w:t>
            </w:r>
          </w:p>
        </w:tc>
      </w:tr>
      <w:tr w:rsidR="000003A4" w:rsidRPr="006F2EF7" w14:paraId="4D93EC73" w14:textId="77777777" w:rsidTr="002C0264">
        <w:tc>
          <w:tcPr>
            <w:tcW w:w="2500" w:type="pct"/>
            <w:vAlign w:val="center"/>
          </w:tcPr>
          <w:p w14:paraId="4BA73973" w14:textId="77777777" w:rsidR="000003A4" w:rsidRPr="006F2EF7" w:rsidRDefault="000003A4" w:rsidP="002C0264">
            <w:pPr>
              <w:jc w:val="center"/>
              <w:rPr>
                <w:szCs w:val="24"/>
              </w:rPr>
            </w:pPr>
            <w:r w:rsidRPr="006F2EF7">
              <w:rPr>
                <w:szCs w:val="24"/>
              </w:rPr>
              <w:t>Attendance &amp; Class Participation</w:t>
            </w:r>
          </w:p>
        </w:tc>
        <w:tc>
          <w:tcPr>
            <w:tcW w:w="2500" w:type="pct"/>
            <w:vAlign w:val="center"/>
          </w:tcPr>
          <w:p w14:paraId="6953C405" w14:textId="77777777" w:rsidR="000003A4" w:rsidRPr="006F2EF7" w:rsidRDefault="000003A4" w:rsidP="002C0264">
            <w:pPr>
              <w:jc w:val="center"/>
              <w:rPr>
                <w:szCs w:val="24"/>
              </w:rPr>
            </w:pPr>
            <w:r w:rsidRPr="006F2EF7">
              <w:rPr>
                <w:szCs w:val="24"/>
              </w:rPr>
              <w:t>10%</w:t>
            </w:r>
          </w:p>
        </w:tc>
      </w:tr>
      <w:tr w:rsidR="000003A4" w:rsidRPr="006F2EF7" w14:paraId="7FB84337" w14:textId="77777777" w:rsidTr="002C0264">
        <w:tc>
          <w:tcPr>
            <w:tcW w:w="2500" w:type="pct"/>
            <w:vAlign w:val="center"/>
          </w:tcPr>
          <w:p w14:paraId="3EE2E28D" w14:textId="77777777" w:rsidR="000003A4" w:rsidRPr="006F2EF7" w:rsidRDefault="000003A4" w:rsidP="002C0264">
            <w:pPr>
              <w:jc w:val="center"/>
              <w:rPr>
                <w:szCs w:val="24"/>
              </w:rPr>
            </w:pPr>
            <w:r w:rsidRPr="006F2EF7">
              <w:rPr>
                <w:szCs w:val="24"/>
              </w:rPr>
              <w:t>Term Project</w:t>
            </w:r>
          </w:p>
        </w:tc>
        <w:tc>
          <w:tcPr>
            <w:tcW w:w="2500" w:type="pct"/>
            <w:vAlign w:val="center"/>
          </w:tcPr>
          <w:p w14:paraId="211A0ED8" w14:textId="77777777" w:rsidR="000003A4" w:rsidRPr="006F2EF7" w:rsidRDefault="000003A4" w:rsidP="002C0264">
            <w:pPr>
              <w:jc w:val="center"/>
              <w:rPr>
                <w:szCs w:val="24"/>
              </w:rPr>
            </w:pPr>
            <w:r w:rsidRPr="006F2EF7">
              <w:rPr>
                <w:szCs w:val="24"/>
              </w:rPr>
              <w:t>10%</w:t>
            </w:r>
          </w:p>
        </w:tc>
      </w:tr>
      <w:tr w:rsidR="000003A4" w:rsidRPr="006F2EF7" w14:paraId="28F8DCE0" w14:textId="77777777" w:rsidTr="002C0264">
        <w:tc>
          <w:tcPr>
            <w:tcW w:w="2500" w:type="pct"/>
            <w:vAlign w:val="center"/>
          </w:tcPr>
          <w:p w14:paraId="5AF79183" w14:textId="77777777" w:rsidR="000003A4" w:rsidRPr="006F2EF7" w:rsidRDefault="000003A4" w:rsidP="002C0264">
            <w:pPr>
              <w:jc w:val="center"/>
              <w:rPr>
                <w:szCs w:val="24"/>
              </w:rPr>
            </w:pPr>
            <w:r w:rsidRPr="006F2EF7">
              <w:rPr>
                <w:szCs w:val="24"/>
              </w:rPr>
              <w:t>Presentations</w:t>
            </w:r>
          </w:p>
        </w:tc>
        <w:tc>
          <w:tcPr>
            <w:tcW w:w="2500" w:type="pct"/>
            <w:vAlign w:val="center"/>
          </w:tcPr>
          <w:p w14:paraId="6696243B" w14:textId="77777777" w:rsidR="000003A4" w:rsidRPr="006F2EF7" w:rsidRDefault="000003A4" w:rsidP="002C0264">
            <w:pPr>
              <w:jc w:val="center"/>
              <w:rPr>
                <w:szCs w:val="24"/>
              </w:rPr>
            </w:pPr>
            <w:r w:rsidRPr="006F2EF7">
              <w:rPr>
                <w:szCs w:val="24"/>
              </w:rPr>
              <w:t>10%</w:t>
            </w:r>
          </w:p>
        </w:tc>
      </w:tr>
      <w:tr w:rsidR="000003A4" w:rsidRPr="006F2EF7" w14:paraId="6CC075D6" w14:textId="77777777" w:rsidTr="002C0264">
        <w:tc>
          <w:tcPr>
            <w:tcW w:w="2500" w:type="pct"/>
            <w:vAlign w:val="center"/>
          </w:tcPr>
          <w:p w14:paraId="6E3E575D" w14:textId="77777777" w:rsidR="000003A4" w:rsidRPr="006F2EF7" w:rsidRDefault="000003A4" w:rsidP="002C0264">
            <w:pPr>
              <w:jc w:val="center"/>
              <w:rPr>
                <w:szCs w:val="24"/>
              </w:rPr>
            </w:pPr>
            <w:r w:rsidRPr="006F2EF7">
              <w:rPr>
                <w:szCs w:val="24"/>
              </w:rPr>
              <w:t>Final exam</w:t>
            </w:r>
          </w:p>
        </w:tc>
        <w:tc>
          <w:tcPr>
            <w:tcW w:w="2500" w:type="pct"/>
            <w:vAlign w:val="center"/>
          </w:tcPr>
          <w:p w14:paraId="68AA6A64" w14:textId="77777777" w:rsidR="000003A4" w:rsidRPr="006F2EF7" w:rsidRDefault="000003A4" w:rsidP="002C0264">
            <w:pPr>
              <w:jc w:val="center"/>
              <w:rPr>
                <w:szCs w:val="24"/>
              </w:rPr>
            </w:pPr>
            <w:r w:rsidRPr="006F2EF7">
              <w:rPr>
                <w:szCs w:val="24"/>
              </w:rPr>
              <w:t>30%</w:t>
            </w:r>
          </w:p>
        </w:tc>
      </w:tr>
      <w:tr w:rsidR="000003A4" w:rsidRPr="006F2EF7" w14:paraId="04535C7B" w14:textId="77777777" w:rsidTr="002C0264">
        <w:tc>
          <w:tcPr>
            <w:tcW w:w="2500" w:type="pct"/>
            <w:vAlign w:val="center"/>
          </w:tcPr>
          <w:p w14:paraId="2E758815" w14:textId="77777777" w:rsidR="000003A4" w:rsidRPr="006F2EF7" w:rsidRDefault="000003A4" w:rsidP="002C0264">
            <w:pPr>
              <w:jc w:val="center"/>
              <w:rPr>
                <w:szCs w:val="24"/>
              </w:rPr>
            </w:pPr>
            <w:r w:rsidRPr="006F2EF7">
              <w:rPr>
                <w:szCs w:val="24"/>
              </w:rPr>
              <w:t>Total</w:t>
            </w:r>
          </w:p>
        </w:tc>
        <w:tc>
          <w:tcPr>
            <w:tcW w:w="2500" w:type="pct"/>
            <w:vAlign w:val="center"/>
          </w:tcPr>
          <w:p w14:paraId="6DF2527C" w14:textId="77777777" w:rsidR="000003A4" w:rsidRPr="006F2EF7" w:rsidRDefault="000003A4" w:rsidP="002C0264">
            <w:pPr>
              <w:jc w:val="center"/>
              <w:rPr>
                <w:szCs w:val="24"/>
              </w:rPr>
            </w:pPr>
            <w:r w:rsidRPr="006F2EF7">
              <w:rPr>
                <w:szCs w:val="24"/>
              </w:rPr>
              <w:t>100%</w:t>
            </w:r>
          </w:p>
        </w:tc>
      </w:tr>
    </w:tbl>
    <w:p w14:paraId="0D0F90DC" w14:textId="77777777" w:rsidR="00290B81" w:rsidRPr="00290B81" w:rsidRDefault="00290B81" w:rsidP="00290B81"/>
    <w:p w14:paraId="293507EA" w14:textId="77777777" w:rsidR="00290B81" w:rsidRDefault="00290B81" w:rsidP="00290B81"/>
    <w:p w14:paraId="727D5420" w14:textId="77777777" w:rsidR="00E17E60" w:rsidRDefault="00E17E60" w:rsidP="00290B81"/>
    <w:p w14:paraId="4D1151B3" w14:textId="77777777" w:rsidR="00E17E60" w:rsidRDefault="00E17E60" w:rsidP="00290B81"/>
    <w:p w14:paraId="2C782675" w14:textId="77777777" w:rsidR="00E17E60" w:rsidRDefault="00E17E60" w:rsidP="00290B81"/>
    <w:p w14:paraId="18681599" w14:textId="77777777" w:rsidR="00682B91" w:rsidRDefault="00682B91" w:rsidP="00290B81"/>
    <w:p w14:paraId="6C113FCF" w14:textId="77777777" w:rsidR="00290B81" w:rsidRPr="00A16EE8" w:rsidRDefault="00290B81" w:rsidP="00290B81">
      <w:pPr>
        <w:tabs>
          <w:tab w:val="left" w:pos="930"/>
        </w:tabs>
        <w:rPr>
          <w:b/>
          <w:sz w:val="28"/>
          <w:szCs w:val="28"/>
          <w:u w:val="single"/>
        </w:rPr>
      </w:pPr>
      <w:r w:rsidRPr="00A16EE8">
        <w:rPr>
          <w:b/>
          <w:sz w:val="28"/>
          <w:szCs w:val="28"/>
          <w:u w:val="single"/>
        </w:rPr>
        <w:lastRenderedPageBreak/>
        <w:t>Recommended Text Books</w:t>
      </w:r>
      <w:r>
        <w:rPr>
          <w:b/>
          <w:sz w:val="28"/>
          <w:szCs w:val="28"/>
          <w:u w:val="single"/>
        </w:rPr>
        <w:t>:</w:t>
      </w:r>
    </w:p>
    <w:p w14:paraId="6CC9CF00" w14:textId="77777777" w:rsidR="00290B81" w:rsidRDefault="00290B81" w:rsidP="00290B81">
      <w:r>
        <w:t>1. Bransden, B.H. &amp; Joachain, C.J., Physics of Atoms and Molecules, 3rd Edition, Pearson, 2003.</w:t>
      </w:r>
    </w:p>
    <w:p w14:paraId="151714EF"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318AD7E3" w14:textId="77777777" w:rsidR="0022737D" w:rsidRDefault="00290B81" w:rsidP="00290B81">
      <w:r>
        <w:t>1. Foot, C.J., Atomic Physics, Oxford University Press, 2005.</w:t>
      </w:r>
      <w:r>
        <w:br/>
        <w:t>2. Herzberg, G., Molecular Spectra and Molecular Structure, Krieger Publishing.</w:t>
      </w:r>
      <w:r>
        <w:br/>
        <w:t>3. Demtröder, W., Laser Spectroscopy: Basic Concepts and Instrumentation, Springer.</w:t>
      </w:r>
    </w:p>
    <w:p w14:paraId="3688E8BF"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3D55B397" w14:textId="77777777" w:rsidR="00A84A9F" w:rsidRDefault="00A84A9F" w:rsidP="00A84A9F">
      <w:pPr>
        <w:spacing w:line="480" w:lineRule="auto"/>
      </w:pPr>
      <w:r>
        <w:t>Course code: PH-764                Course title: Advanced Atomic and Molecular Physics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88466E" w:rsidRPr="006F2EF7" w14:paraId="3D20DAD9" w14:textId="77777777" w:rsidTr="002C0264">
        <w:trPr>
          <w:trHeight w:val="1451"/>
        </w:trPr>
        <w:tc>
          <w:tcPr>
            <w:tcW w:w="465" w:type="pct"/>
            <w:vAlign w:val="center"/>
          </w:tcPr>
          <w:p w14:paraId="1BD77748" w14:textId="77777777" w:rsidR="0088466E" w:rsidRPr="006F2EF7" w:rsidRDefault="0088466E" w:rsidP="002C0264">
            <w:pPr>
              <w:spacing w:after="0" w:line="480" w:lineRule="auto"/>
              <w:rPr>
                <w:b/>
                <w:szCs w:val="24"/>
              </w:rPr>
            </w:pPr>
          </w:p>
          <w:p w14:paraId="3407CD50" w14:textId="77777777" w:rsidR="0088466E" w:rsidRPr="006F2EF7" w:rsidRDefault="0088466E"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2A5C4CD5" w14:textId="77777777" w:rsidR="0088466E" w:rsidRPr="006F2EF7" w:rsidRDefault="0088466E" w:rsidP="002C0264">
            <w:pPr>
              <w:spacing w:after="0" w:line="480" w:lineRule="auto"/>
              <w:rPr>
                <w:b/>
                <w:szCs w:val="24"/>
              </w:rPr>
            </w:pPr>
          </w:p>
          <w:p w14:paraId="31FC47E5" w14:textId="77777777" w:rsidR="0088466E" w:rsidRPr="006F2EF7" w:rsidRDefault="0088466E" w:rsidP="002C0264">
            <w:pPr>
              <w:spacing w:after="0" w:line="240" w:lineRule="auto"/>
              <w:rPr>
                <w:b/>
                <w:szCs w:val="24"/>
              </w:rPr>
            </w:pPr>
            <w:r w:rsidRPr="006F2EF7">
              <w:rPr>
                <w:b/>
                <w:szCs w:val="24"/>
              </w:rPr>
              <w:t xml:space="preserve">                                    Course Contents                                                                 </w:t>
            </w:r>
          </w:p>
          <w:p w14:paraId="365EDEBB" w14:textId="77777777" w:rsidR="0088466E" w:rsidRPr="006F2EF7" w:rsidRDefault="0088466E" w:rsidP="002C0264">
            <w:pPr>
              <w:tabs>
                <w:tab w:val="left" w:pos="1065"/>
              </w:tabs>
              <w:spacing w:after="0" w:line="240" w:lineRule="auto"/>
              <w:rPr>
                <w:b/>
                <w:szCs w:val="24"/>
              </w:rPr>
            </w:pPr>
            <w:r w:rsidRPr="006F2EF7">
              <w:rPr>
                <w:b/>
                <w:szCs w:val="24"/>
              </w:rPr>
              <w:tab/>
            </w:r>
          </w:p>
        </w:tc>
        <w:tc>
          <w:tcPr>
            <w:tcW w:w="1242" w:type="pct"/>
            <w:vAlign w:val="center"/>
          </w:tcPr>
          <w:p w14:paraId="70936ACC" w14:textId="77777777" w:rsidR="0088466E" w:rsidRPr="006F2EF7" w:rsidRDefault="0088466E" w:rsidP="002C0264">
            <w:pPr>
              <w:spacing w:after="0" w:line="480" w:lineRule="auto"/>
              <w:rPr>
                <w:b/>
                <w:szCs w:val="24"/>
              </w:rPr>
            </w:pPr>
          </w:p>
          <w:p w14:paraId="6274FD28" w14:textId="77777777" w:rsidR="0088466E" w:rsidRPr="006F2EF7" w:rsidRDefault="0088466E" w:rsidP="002C0264">
            <w:pPr>
              <w:spacing w:after="0" w:line="480" w:lineRule="auto"/>
              <w:rPr>
                <w:b/>
                <w:szCs w:val="24"/>
              </w:rPr>
            </w:pPr>
            <w:r w:rsidRPr="006F2EF7">
              <w:rPr>
                <w:b/>
                <w:szCs w:val="24"/>
              </w:rPr>
              <w:t>Reference Chapter(s)</w:t>
            </w:r>
          </w:p>
        </w:tc>
      </w:tr>
      <w:tr w:rsidR="0088466E" w:rsidRPr="006F2EF7" w14:paraId="46DD6FB7" w14:textId="77777777" w:rsidTr="0088466E">
        <w:trPr>
          <w:trHeight w:val="884"/>
        </w:trPr>
        <w:tc>
          <w:tcPr>
            <w:tcW w:w="465" w:type="pct"/>
            <w:vAlign w:val="center"/>
          </w:tcPr>
          <w:p w14:paraId="30787F37" w14:textId="77777777" w:rsidR="0088466E" w:rsidRPr="006F2EF7" w:rsidRDefault="0088466E" w:rsidP="002C0264">
            <w:pPr>
              <w:spacing w:after="0" w:line="240" w:lineRule="auto"/>
              <w:jc w:val="center"/>
              <w:rPr>
                <w:szCs w:val="24"/>
              </w:rPr>
            </w:pPr>
            <w:r w:rsidRPr="006F2EF7">
              <w:rPr>
                <w:szCs w:val="24"/>
              </w:rPr>
              <w:t>1</w:t>
            </w:r>
          </w:p>
        </w:tc>
        <w:tc>
          <w:tcPr>
            <w:tcW w:w="3293" w:type="pct"/>
            <w:vAlign w:val="center"/>
          </w:tcPr>
          <w:p w14:paraId="19B5264B" w14:textId="77777777" w:rsidR="0088466E" w:rsidRDefault="0088466E" w:rsidP="0088466E">
            <w:r>
              <w:t>Review of quantum mechanics; atomic units; hydrogen-like atoms</w:t>
            </w:r>
          </w:p>
        </w:tc>
        <w:tc>
          <w:tcPr>
            <w:tcW w:w="1242" w:type="pct"/>
            <w:vAlign w:val="center"/>
          </w:tcPr>
          <w:p w14:paraId="558ABF65" w14:textId="77777777" w:rsidR="0088466E" w:rsidRDefault="0088466E" w:rsidP="0088466E">
            <w:pPr>
              <w:jc w:val="center"/>
            </w:pPr>
            <w:r>
              <w:t>Ch. 1</w:t>
            </w:r>
          </w:p>
        </w:tc>
      </w:tr>
      <w:tr w:rsidR="0088466E" w:rsidRPr="006F2EF7" w14:paraId="1934BC6F" w14:textId="77777777" w:rsidTr="0088466E">
        <w:trPr>
          <w:trHeight w:val="710"/>
        </w:trPr>
        <w:tc>
          <w:tcPr>
            <w:tcW w:w="465" w:type="pct"/>
            <w:vAlign w:val="center"/>
          </w:tcPr>
          <w:p w14:paraId="38139A25" w14:textId="77777777" w:rsidR="0088466E" w:rsidRPr="006F2EF7" w:rsidRDefault="0088466E" w:rsidP="002C0264">
            <w:pPr>
              <w:spacing w:after="0" w:line="480" w:lineRule="auto"/>
              <w:jc w:val="center"/>
              <w:rPr>
                <w:szCs w:val="24"/>
              </w:rPr>
            </w:pPr>
            <w:r w:rsidRPr="006F2EF7">
              <w:rPr>
                <w:szCs w:val="24"/>
              </w:rPr>
              <w:t>2</w:t>
            </w:r>
          </w:p>
        </w:tc>
        <w:tc>
          <w:tcPr>
            <w:tcW w:w="3293" w:type="pct"/>
            <w:vAlign w:val="center"/>
          </w:tcPr>
          <w:p w14:paraId="630D4F09" w14:textId="77777777" w:rsidR="0088466E" w:rsidRDefault="0088466E" w:rsidP="0088466E">
            <w:r>
              <w:t>Fine structure and relativistic corrections</w:t>
            </w:r>
          </w:p>
        </w:tc>
        <w:tc>
          <w:tcPr>
            <w:tcW w:w="1242" w:type="pct"/>
            <w:vAlign w:val="center"/>
          </w:tcPr>
          <w:p w14:paraId="109E050F" w14:textId="77777777" w:rsidR="0088466E" w:rsidRDefault="0088466E" w:rsidP="0088466E">
            <w:pPr>
              <w:jc w:val="center"/>
            </w:pPr>
            <w:r>
              <w:t>Ch. 2</w:t>
            </w:r>
          </w:p>
        </w:tc>
      </w:tr>
      <w:tr w:rsidR="0088466E" w:rsidRPr="006F2EF7" w14:paraId="04887D4A" w14:textId="77777777" w:rsidTr="0088466E">
        <w:trPr>
          <w:trHeight w:val="780"/>
        </w:trPr>
        <w:tc>
          <w:tcPr>
            <w:tcW w:w="465" w:type="pct"/>
            <w:vAlign w:val="center"/>
          </w:tcPr>
          <w:p w14:paraId="172DB9B4" w14:textId="77777777" w:rsidR="0088466E" w:rsidRPr="006F2EF7" w:rsidRDefault="0088466E" w:rsidP="002C0264">
            <w:pPr>
              <w:spacing w:after="0" w:line="480" w:lineRule="auto"/>
              <w:jc w:val="center"/>
              <w:rPr>
                <w:szCs w:val="24"/>
              </w:rPr>
            </w:pPr>
            <w:r w:rsidRPr="006F2EF7">
              <w:rPr>
                <w:szCs w:val="24"/>
              </w:rPr>
              <w:t>3</w:t>
            </w:r>
          </w:p>
        </w:tc>
        <w:tc>
          <w:tcPr>
            <w:tcW w:w="3293" w:type="pct"/>
            <w:vAlign w:val="center"/>
          </w:tcPr>
          <w:p w14:paraId="5039FDE4" w14:textId="77777777" w:rsidR="0088466E" w:rsidRDefault="0088466E" w:rsidP="0088466E">
            <w:r>
              <w:t>Hyperfine structure, Zeeman and Stark effects</w:t>
            </w:r>
          </w:p>
        </w:tc>
        <w:tc>
          <w:tcPr>
            <w:tcW w:w="1242" w:type="pct"/>
            <w:vAlign w:val="center"/>
          </w:tcPr>
          <w:p w14:paraId="5BCDE2F3" w14:textId="77777777" w:rsidR="0088466E" w:rsidRDefault="0088466E" w:rsidP="0088466E">
            <w:pPr>
              <w:jc w:val="center"/>
            </w:pPr>
            <w:r>
              <w:t>Ch. 3</w:t>
            </w:r>
          </w:p>
        </w:tc>
      </w:tr>
      <w:tr w:rsidR="0088466E" w:rsidRPr="006F2EF7" w14:paraId="19A547B3" w14:textId="77777777" w:rsidTr="0088466E">
        <w:trPr>
          <w:trHeight w:val="678"/>
        </w:trPr>
        <w:tc>
          <w:tcPr>
            <w:tcW w:w="465" w:type="pct"/>
            <w:vAlign w:val="center"/>
          </w:tcPr>
          <w:p w14:paraId="033B40C6" w14:textId="77777777" w:rsidR="0088466E" w:rsidRPr="006F2EF7" w:rsidRDefault="0088466E" w:rsidP="002C0264">
            <w:pPr>
              <w:spacing w:after="0" w:line="480" w:lineRule="auto"/>
              <w:jc w:val="center"/>
              <w:rPr>
                <w:szCs w:val="24"/>
              </w:rPr>
            </w:pPr>
            <w:r w:rsidRPr="006F2EF7">
              <w:rPr>
                <w:szCs w:val="24"/>
              </w:rPr>
              <w:t>4</w:t>
            </w:r>
          </w:p>
        </w:tc>
        <w:tc>
          <w:tcPr>
            <w:tcW w:w="3293" w:type="pct"/>
            <w:vAlign w:val="center"/>
          </w:tcPr>
          <w:p w14:paraId="1330AAF3" w14:textId="77777777" w:rsidR="0088466E" w:rsidRDefault="0088466E" w:rsidP="0088466E">
            <w:r>
              <w:t>Many-electron atoms; LS &amp; JJ coupling</w:t>
            </w:r>
          </w:p>
        </w:tc>
        <w:tc>
          <w:tcPr>
            <w:tcW w:w="1242" w:type="pct"/>
            <w:vAlign w:val="center"/>
          </w:tcPr>
          <w:p w14:paraId="4D1AD68A" w14:textId="77777777" w:rsidR="0088466E" w:rsidRDefault="0088466E" w:rsidP="0088466E">
            <w:pPr>
              <w:jc w:val="center"/>
            </w:pPr>
            <w:r>
              <w:t>Ch. 4</w:t>
            </w:r>
          </w:p>
        </w:tc>
      </w:tr>
      <w:tr w:rsidR="0088466E" w:rsidRPr="006F2EF7" w14:paraId="3B7CF78C" w14:textId="77777777" w:rsidTr="0088466E">
        <w:trPr>
          <w:trHeight w:val="676"/>
        </w:trPr>
        <w:tc>
          <w:tcPr>
            <w:tcW w:w="465" w:type="pct"/>
            <w:vAlign w:val="center"/>
          </w:tcPr>
          <w:p w14:paraId="74BC5027" w14:textId="77777777" w:rsidR="0088466E" w:rsidRPr="006F2EF7" w:rsidRDefault="0088466E" w:rsidP="002C0264">
            <w:pPr>
              <w:spacing w:after="0" w:line="480" w:lineRule="auto"/>
              <w:jc w:val="center"/>
              <w:rPr>
                <w:szCs w:val="24"/>
              </w:rPr>
            </w:pPr>
            <w:r w:rsidRPr="006F2EF7">
              <w:rPr>
                <w:szCs w:val="24"/>
              </w:rPr>
              <w:t>5</w:t>
            </w:r>
          </w:p>
        </w:tc>
        <w:tc>
          <w:tcPr>
            <w:tcW w:w="3293" w:type="pct"/>
            <w:vAlign w:val="center"/>
          </w:tcPr>
          <w:p w14:paraId="775BD5DC" w14:textId="77777777" w:rsidR="0088466E" w:rsidRDefault="0088466E" w:rsidP="0088466E">
            <w:r>
              <w:t>Atomic spectra and selection rules</w:t>
            </w:r>
          </w:p>
        </w:tc>
        <w:tc>
          <w:tcPr>
            <w:tcW w:w="1242" w:type="pct"/>
            <w:vAlign w:val="center"/>
          </w:tcPr>
          <w:p w14:paraId="19285621" w14:textId="77777777" w:rsidR="0088466E" w:rsidRDefault="0088466E" w:rsidP="0088466E">
            <w:pPr>
              <w:jc w:val="center"/>
            </w:pPr>
            <w:r>
              <w:t>Ch. 5</w:t>
            </w:r>
          </w:p>
        </w:tc>
      </w:tr>
      <w:tr w:rsidR="0088466E" w:rsidRPr="006F2EF7" w14:paraId="33905ABE" w14:textId="77777777" w:rsidTr="0088466E">
        <w:trPr>
          <w:trHeight w:val="672"/>
        </w:trPr>
        <w:tc>
          <w:tcPr>
            <w:tcW w:w="465" w:type="pct"/>
            <w:vAlign w:val="center"/>
          </w:tcPr>
          <w:p w14:paraId="44317B3E" w14:textId="77777777" w:rsidR="0088466E" w:rsidRPr="006F2EF7" w:rsidRDefault="0088466E" w:rsidP="002C0264">
            <w:pPr>
              <w:spacing w:after="0" w:line="480" w:lineRule="auto"/>
              <w:jc w:val="center"/>
              <w:rPr>
                <w:szCs w:val="24"/>
              </w:rPr>
            </w:pPr>
            <w:r w:rsidRPr="006F2EF7">
              <w:rPr>
                <w:szCs w:val="24"/>
              </w:rPr>
              <w:t>6</w:t>
            </w:r>
          </w:p>
        </w:tc>
        <w:tc>
          <w:tcPr>
            <w:tcW w:w="3293" w:type="pct"/>
            <w:vAlign w:val="center"/>
          </w:tcPr>
          <w:p w14:paraId="3951DB02" w14:textId="77777777" w:rsidR="0088466E" w:rsidRDefault="0088466E" w:rsidP="0088466E">
            <w:r>
              <w:t>Molecular bonding: LCAO, Heitler-London model</w:t>
            </w:r>
          </w:p>
        </w:tc>
        <w:tc>
          <w:tcPr>
            <w:tcW w:w="1242" w:type="pct"/>
            <w:vAlign w:val="center"/>
          </w:tcPr>
          <w:p w14:paraId="144B9B45" w14:textId="77777777" w:rsidR="0088466E" w:rsidRDefault="0088466E" w:rsidP="0088466E">
            <w:pPr>
              <w:jc w:val="center"/>
            </w:pPr>
            <w:r>
              <w:t>Ch. 6</w:t>
            </w:r>
          </w:p>
        </w:tc>
      </w:tr>
      <w:tr w:rsidR="0088466E" w:rsidRPr="006F2EF7" w14:paraId="3621CC15" w14:textId="77777777" w:rsidTr="0088466E">
        <w:trPr>
          <w:trHeight w:val="630"/>
        </w:trPr>
        <w:tc>
          <w:tcPr>
            <w:tcW w:w="465" w:type="pct"/>
            <w:vAlign w:val="center"/>
          </w:tcPr>
          <w:p w14:paraId="43F5F919" w14:textId="77777777" w:rsidR="0088466E" w:rsidRPr="006F2EF7" w:rsidRDefault="0088466E" w:rsidP="002C0264">
            <w:pPr>
              <w:spacing w:after="0" w:line="480" w:lineRule="auto"/>
              <w:jc w:val="center"/>
              <w:rPr>
                <w:szCs w:val="24"/>
              </w:rPr>
            </w:pPr>
            <w:r w:rsidRPr="006F2EF7">
              <w:rPr>
                <w:szCs w:val="24"/>
              </w:rPr>
              <w:t>7</w:t>
            </w:r>
          </w:p>
        </w:tc>
        <w:tc>
          <w:tcPr>
            <w:tcW w:w="3293" w:type="pct"/>
            <w:vAlign w:val="center"/>
          </w:tcPr>
          <w:p w14:paraId="4E621843" w14:textId="77777777" w:rsidR="0088466E" w:rsidRDefault="0088466E" w:rsidP="0088466E">
            <w:r>
              <w:t>Rotation and vibration spectra of diatomic molecules</w:t>
            </w:r>
          </w:p>
        </w:tc>
        <w:tc>
          <w:tcPr>
            <w:tcW w:w="1242" w:type="pct"/>
            <w:vAlign w:val="center"/>
          </w:tcPr>
          <w:p w14:paraId="24499690" w14:textId="77777777" w:rsidR="0088466E" w:rsidRDefault="0088466E" w:rsidP="0088466E">
            <w:pPr>
              <w:jc w:val="center"/>
            </w:pPr>
            <w:r>
              <w:t>Ch. 7</w:t>
            </w:r>
          </w:p>
        </w:tc>
      </w:tr>
      <w:tr w:rsidR="0088466E" w:rsidRPr="006F2EF7" w14:paraId="2381B99C" w14:textId="77777777" w:rsidTr="0088466E">
        <w:trPr>
          <w:trHeight w:val="682"/>
        </w:trPr>
        <w:tc>
          <w:tcPr>
            <w:tcW w:w="465" w:type="pct"/>
            <w:vAlign w:val="center"/>
          </w:tcPr>
          <w:p w14:paraId="499F1D31" w14:textId="77777777" w:rsidR="0088466E" w:rsidRPr="006F2EF7" w:rsidRDefault="0088466E" w:rsidP="002C0264">
            <w:pPr>
              <w:spacing w:after="0" w:line="480" w:lineRule="auto"/>
              <w:jc w:val="center"/>
              <w:rPr>
                <w:szCs w:val="24"/>
              </w:rPr>
            </w:pPr>
            <w:r w:rsidRPr="006F2EF7">
              <w:rPr>
                <w:szCs w:val="24"/>
              </w:rPr>
              <w:t>8</w:t>
            </w:r>
          </w:p>
        </w:tc>
        <w:tc>
          <w:tcPr>
            <w:tcW w:w="3293" w:type="pct"/>
            <w:vAlign w:val="center"/>
          </w:tcPr>
          <w:p w14:paraId="782FB94A" w14:textId="77777777" w:rsidR="0088466E" w:rsidRDefault="0088466E" w:rsidP="0088466E">
            <w:r>
              <w:t>Electronic spectra; Franck-Condon principle</w:t>
            </w:r>
          </w:p>
        </w:tc>
        <w:tc>
          <w:tcPr>
            <w:tcW w:w="1242" w:type="pct"/>
            <w:vAlign w:val="center"/>
          </w:tcPr>
          <w:p w14:paraId="59E43994" w14:textId="77777777" w:rsidR="0088466E" w:rsidRDefault="0088466E" w:rsidP="0088466E">
            <w:pPr>
              <w:jc w:val="center"/>
            </w:pPr>
            <w:r>
              <w:t>Ch. 8</w:t>
            </w:r>
          </w:p>
        </w:tc>
      </w:tr>
      <w:tr w:rsidR="0088466E" w:rsidRPr="006F2EF7" w14:paraId="2FDFFF7C" w14:textId="77777777" w:rsidTr="0088466E">
        <w:trPr>
          <w:trHeight w:val="664"/>
        </w:trPr>
        <w:tc>
          <w:tcPr>
            <w:tcW w:w="465" w:type="pct"/>
            <w:vAlign w:val="center"/>
          </w:tcPr>
          <w:p w14:paraId="42BA5D27" w14:textId="77777777" w:rsidR="0088466E" w:rsidRPr="006F2EF7" w:rsidRDefault="0088466E" w:rsidP="002C0264">
            <w:pPr>
              <w:spacing w:after="0" w:line="480" w:lineRule="auto"/>
              <w:jc w:val="center"/>
              <w:rPr>
                <w:szCs w:val="24"/>
              </w:rPr>
            </w:pPr>
            <w:r w:rsidRPr="006F2EF7">
              <w:rPr>
                <w:szCs w:val="24"/>
              </w:rPr>
              <w:t>9</w:t>
            </w:r>
          </w:p>
        </w:tc>
        <w:tc>
          <w:tcPr>
            <w:tcW w:w="3293" w:type="pct"/>
            <w:vAlign w:val="center"/>
          </w:tcPr>
          <w:p w14:paraId="029485F3" w14:textId="77777777" w:rsidR="0088466E" w:rsidRDefault="0088466E" w:rsidP="0088466E">
            <w:r>
              <w:t>Normal modes and symmetry in polyatomic molecules</w:t>
            </w:r>
          </w:p>
        </w:tc>
        <w:tc>
          <w:tcPr>
            <w:tcW w:w="1242" w:type="pct"/>
            <w:vAlign w:val="center"/>
          </w:tcPr>
          <w:p w14:paraId="16E37A85" w14:textId="77777777" w:rsidR="0088466E" w:rsidRDefault="0088466E" w:rsidP="0088466E">
            <w:pPr>
              <w:jc w:val="center"/>
            </w:pPr>
            <w:r>
              <w:t>Ch. 9</w:t>
            </w:r>
          </w:p>
        </w:tc>
      </w:tr>
      <w:tr w:rsidR="0088466E" w:rsidRPr="006F2EF7" w14:paraId="36A8703E" w14:textId="77777777" w:rsidTr="0088466E">
        <w:trPr>
          <w:trHeight w:val="664"/>
        </w:trPr>
        <w:tc>
          <w:tcPr>
            <w:tcW w:w="465" w:type="pct"/>
            <w:vAlign w:val="center"/>
          </w:tcPr>
          <w:p w14:paraId="3F59073F" w14:textId="77777777" w:rsidR="0088466E" w:rsidRPr="006F2EF7" w:rsidRDefault="0088466E" w:rsidP="002C0264">
            <w:pPr>
              <w:spacing w:after="0" w:line="480" w:lineRule="auto"/>
              <w:jc w:val="center"/>
              <w:rPr>
                <w:szCs w:val="24"/>
              </w:rPr>
            </w:pPr>
            <w:r>
              <w:rPr>
                <w:szCs w:val="24"/>
              </w:rPr>
              <w:lastRenderedPageBreak/>
              <w:t>10</w:t>
            </w:r>
          </w:p>
        </w:tc>
        <w:tc>
          <w:tcPr>
            <w:tcW w:w="3293" w:type="pct"/>
            <w:vAlign w:val="center"/>
          </w:tcPr>
          <w:p w14:paraId="5577D580" w14:textId="77777777" w:rsidR="0088466E" w:rsidRDefault="0088466E" w:rsidP="0088466E">
            <w:r>
              <w:t>Scattering theory: partial waves and resonances</w:t>
            </w:r>
          </w:p>
        </w:tc>
        <w:tc>
          <w:tcPr>
            <w:tcW w:w="1242" w:type="pct"/>
            <w:vAlign w:val="center"/>
          </w:tcPr>
          <w:p w14:paraId="714672A1" w14:textId="77777777" w:rsidR="0088466E" w:rsidRDefault="0088466E" w:rsidP="0088466E">
            <w:pPr>
              <w:jc w:val="center"/>
            </w:pPr>
            <w:r>
              <w:t>Ch. 10</w:t>
            </w:r>
          </w:p>
        </w:tc>
      </w:tr>
      <w:tr w:rsidR="0088466E" w:rsidRPr="006F2EF7" w14:paraId="39302718" w14:textId="77777777" w:rsidTr="0088466E">
        <w:trPr>
          <w:trHeight w:val="664"/>
        </w:trPr>
        <w:tc>
          <w:tcPr>
            <w:tcW w:w="465" w:type="pct"/>
            <w:vAlign w:val="center"/>
          </w:tcPr>
          <w:p w14:paraId="76E6C7C5" w14:textId="77777777" w:rsidR="0088466E" w:rsidRPr="006F2EF7" w:rsidRDefault="0088466E" w:rsidP="002C0264">
            <w:pPr>
              <w:spacing w:after="0" w:line="480" w:lineRule="auto"/>
              <w:jc w:val="center"/>
              <w:rPr>
                <w:szCs w:val="24"/>
              </w:rPr>
            </w:pPr>
            <w:r>
              <w:rPr>
                <w:szCs w:val="24"/>
              </w:rPr>
              <w:t>11</w:t>
            </w:r>
          </w:p>
        </w:tc>
        <w:tc>
          <w:tcPr>
            <w:tcW w:w="3293" w:type="pct"/>
            <w:vAlign w:val="center"/>
          </w:tcPr>
          <w:p w14:paraId="0E8ADB30" w14:textId="77777777" w:rsidR="0088466E" w:rsidRDefault="0088466E" w:rsidP="0088466E">
            <w:r>
              <w:t>Spectroscopic techniques: IR, Raman, UV-Vis</w:t>
            </w:r>
          </w:p>
        </w:tc>
        <w:tc>
          <w:tcPr>
            <w:tcW w:w="1242" w:type="pct"/>
            <w:vAlign w:val="center"/>
          </w:tcPr>
          <w:p w14:paraId="0007756B" w14:textId="77777777" w:rsidR="0088466E" w:rsidRDefault="0088466E" w:rsidP="0088466E">
            <w:pPr>
              <w:jc w:val="center"/>
            </w:pPr>
            <w:r>
              <w:t>Ch. 11</w:t>
            </w:r>
          </w:p>
        </w:tc>
      </w:tr>
      <w:tr w:rsidR="0088466E" w:rsidRPr="006F2EF7" w14:paraId="1E7A9EF2" w14:textId="77777777" w:rsidTr="0088466E">
        <w:trPr>
          <w:trHeight w:val="664"/>
        </w:trPr>
        <w:tc>
          <w:tcPr>
            <w:tcW w:w="465" w:type="pct"/>
            <w:vAlign w:val="center"/>
          </w:tcPr>
          <w:p w14:paraId="0758976B" w14:textId="77777777" w:rsidR="0088466E" w:rsidRPr="006F2EF7" w:rsidRDefault="0088466E" w:rsidP="002C0264">
            <w:pPr>
              <w:spacing w:after="0" w:line="480" w:lineRule="auto"/>
              <w:jc w:val="center"/>
              <w:rPr>
                <w:szCs w:val="24"/>
              </w:rPr>
            </w:pPr>
            <w:r>
              <w:rPr>
                <w:szCs w:val="24"/>
              </w:rPr>
              <w:t>12</w:t>
            </w:r>
          </w:p>
        </w:tc>
        <w:tc>
          <w:tcPr>
            <w:tcW w:w="3293" w:type="pct"/>
            <w:vAlign w:val="center"/>
          </w:tcPr>
          <w:p w14:paraId="6CB5A0DC" w14:textId="77777777" w:rsidR="0088466E" w:rsidRDefault="0088466E" w:rsidP="0088466E">
            <w:r>
              <w:t>Atomic transitions: dipole moment, oscillator strength</w:t>
            </w:r>
          </w:p>
        </w:tc>
        <w:tc>
          <w:tcPr>
            <w:tcW w:w="1242" w:type="pct"/>
            <w:vAlign w:val="center"/>
          </w:tcPr>
          <w:p w14:paraId="0EE91295" w14:textId="77777777" w:rsidR="0088466E" w:rsidRDefault="0088466E" w:rsidP="0088466E">
            <w:pPr>
              <w:jc w:val="center"/>
            </w:pPr>
            <w:r>
              <w:t>Ch. 12</w:t>
            </w:r>
          </w:p>
        </w:tc>
      </w:tr>
      <w:tr w:rsidR="0088466E" w:rsidRPr="006F2EF7" w14:paraId="77B04AEB" w14:textId="77777777" w:rsidTr="0088466E">
        <w:trPr>
          <w:trHeight w:val="664"/>
        </w:trPr>
        <w:tc>
          <w:tcPr>
            <w:tcW w:w="465" w:type="pct"/>
            <w:vAlign w:val="center"/>
          </w:tcPr>
          <w:p w14:paraId="613061F5" w14:textId="77777777" w:rsidR="0088466E" w:rsidRPr="006F2EF7" w:rsidRDefault="0088466E" w:rsidP="002C0264">
            <w:pPr>
              <w:spacing w:after="0" w:line="480" w:lineRule="auto"/>
              <w:jc w:val="center"/>
              <w:rPr>
                <w:szCs w:val="24"/>
              </w:rPr>
            </w:pPr>
            <w:r>
              <w:rPr>
                <w:szCs w:val="24"/>
              </w:rPr>
              <w:t>13</w:t>
            </w:r>
          </w:p>
        </w:tc>
        <w:tc>
          <w:tcPr>
            <w:tcW w:w="3293" w:type="pct"/>
            <w:vAlign w:val="center"/>
          </w:tcPr>
          <w:p w14:paraId="182AEF1D" w14:textId="77777777" w:rsidR="0088466E" w:rsidRDefault="0088466E" w:rsidP="0088466E">
            <w:r>
              <w:t>Laser–matter interaction fundamentals</w:t>
            </w:r>
          </w:p>
        </w:tc>
        <w:tc>
          <w:tcPr>
            <w:tcW w:w="1242" w:type="pct"/>
            <w:vAlign w:val="center"/>
          </w:tcPr>
          <w:p w14:paraId="4223EFB8" w14:textId="77777777" w:rsidR="0088466E" w:rsidRDefault="0088466E" w:rsidP="0088466E">
            <w:pPr>
              <w:jc w:val="center"/>
            </w:pPr>
            <w:r>
              <w:t>Ch. 13</w:t>
            </w:r>
          </w:p>
        </w:tc>
      </w:tr>
      <w:tr w:rsidR="0088466E" w:rsidRPr="006F2EF7" w14:paraId="5875E711" w14:textId="77777777" w:rsidTr="0088466E">
        <w:trPr>
          <w:trHeight w:val="664"/>
        </w:trPr>
        <w:tc>
          <w:tcPr>
            <w:tcW w:w="465" w:type="pct"/>
            <w:vAlign w:val="center"/>
          </w:tcPr>
          <w:p w14:paraId="41371AD9" w14:textId="77777777" w:rsidR="0088466E" w:rsidRPr="006F2EF7" w:rsidRDefault="0088466E" w:rsidP="002C0264">
            <w:pPr>
              <w:spacing w:after="0" w:line="480" w:lineRule="auto"/>
              <w:jc w:val="center"/>
              <w:rPr>
                <w:szCs w:val="24"/>
              </w:rPr>
            </w:pPr>
            <w:r>
              <w:rPr>
                <w:szCs w:val="24"/>
              </w:rPr>
              <w:t>14</w:t>
            </w:r>
          </w:p>
        </w:tc>
        <w:tc>
          <w:tcPr>
            <w:tcW w:w="3293" w:type="pct"/>
            <w:vAlign w:val="center"/>
          </w:tcPr>
          <w:p w14:paraId="7A0DCBDF" w14:textId="77777777" w:rsidR="0088466E" w:rsidRDefault="0088466E" w:rsidP="0088466E">
            <w:r>
              <w:t>Plasma atomic processes: excitation, ionization, recombination</w:t>
            </w:r>
          </w:p>
        </w:tc>
        <w:tc>
          <w:tcPr>
            <w:tcW w:w="1242" w:type="pct"/>
            <w:vAlign w:val="center"/>
          </w:tcPr>
          <w:p w14:paraId="7E53306E" w14:textId="77777777" w:rsidR="0088466E" w:rsidRDefault="0088466E" w:rsidP="0088466E">
            <w:pPr>
              <w:jc w:val="center"/>
            </w:pPr>
            <w:r>
              <w:t>Ch. 14</w:t>
            </w:r>
          </w:p>
        </w:tc>
      </w:tr>
      <w:tr w:rsidR="0088466E" w:rsidRPr="006F2EF7" w14:paraId="15721E1A" w14:textId="77777777" w:rsidTr="0088466E">
        <w:trPr>
          <w:trHeight w:val="664"/>
        </w:trPr>
        <w:tc>
          <w:tcPr>
            <w:tcW w:w="465" w:type="pct"/>
            <w:vAlign w:val="center"/>
          </w:tcPr>
          <w:p w14:paraId="3E2E61CD" w14:textId="77777777" w:rsidR="0088466E" w:rsidRPr="006F2EF7" w:rsidRDefault="0088466E" w:rsidP="002C0264">
            <w:pPr>
              <w:spacing w:after="0" w:line="480" w:lineRule="auto"/>
              <w:jc w:val="center"/>
              <w:rPr>
                <w:szCs w:val="24"/>
              </w:rPr>
            </w:pPr>
            <w:r>
              <w:rPr>
                <w:szCs w:val="24"/>
              </w:rPr>
              <w:t>15</w:t>
            </w:r>
          </w:p>
        </w:tc>
        <w:tc>
          <w:tcPr>
            <w:tcW w:w="3293" w:type="pct"/>
            <w:vAlign w:val="center"/>
          </w:tcPr>
          <w:p w14:paraId="146ABB29" w14:textId="77777777" w:rsidR="0088466E" w:rsidRDefault="0088466E" w:rsidP="0088466E">
            <w:r>
              <w:t>Applications in astrophysics, materials science</w:t>
            </w:r>
          </w:p>
        </w:tc>
        <w:tc>
          <w:tcPr>
            <w:tcW w:w="1242" w:type="pct"/>
            <w:vAlign w:val="center"/>
          </w:tcPr>
          <w:p w14:paraId="5D9AC486" w14:textId="77777777" w:rsidR="0088466E" w:rsidRDefault="0088466E" w:rsidP="0088466E">
            <w:pPr>
              <w:jc w:val="center"/>
            </w:pPr>
            <w:r>
              <w:t>Ch. 15</w:t>
            </w:r>
          </w:p>
        </w:tc>
      </w:tr>
      <w:tr w:rsidR="0088466E" w:rsidRPr="006F2EF7" w14:paraId="12745D83" w14:textId="77777777" w:rsidTr="0088466E">
        <w:trPr>
          <w:trHeight w:val="664"/>
        </w:trPr>
        <w:tc>
          <w:tcPr>
            <w:tcW w:w="465" w:type="pct"/>
            <w:vAlign w:val="center"/>
          </w:tcPr>
          <w:p w14:paraId="55F9819E" w14:textId="77777777" w:rsidR="0088466E" w:rsidRPr="006F2EF7" w:rsidRDefault="0088466E" w:rsidP="002C0264">
            <w:pPr>
              <w:spacing w:after="0" w:line="480" w:lineRule="auto"/>
              <w:jc w:val="center"/>
              <w:rPr>
                <w:szCs w:val="24"/>
              </w:rPr>
            </w:pPr>
            <w:r>
              <w:rPr>
                <w:szCs w:val="24"/>
              </w:rPr>
              <w:t>16</w:t>
            </w:r>
          </w:p>
        </w:tc>
        <w:tc>
          <w:tcPr>
            <w:tcW w:w="3293" w:type="pct"/>
            <w:vAlign w:val="center"/>
          </w:tcPr>
          <w:p w14:paraId="5FEE70C0" w14:textId="77777777" w:rsidR="0088466E" w:rsidRDefault="0088466E" w:rsidP="0088466E">
            <w:r>
              <w:t>Molecular dynamics and computational modeling</w:t>
            </w:r>
          </w:p>
        </w:tc>
        <w:tc>
          <w:tcPr>
            <w:tcW w:w="1242" w:type="pct"/>
            <w:vAlign w:val="center"/>
          </w:tcPr>
          <w:p w14:paraId="5968543C" w14:textId="77777777" w:rsidR="0088466E" w:rsidRDefault="0088466E" w:rsidP="0088466E">
            <w:pPr>
              <w:jc w:val="center"/>
            </w:pPr>
            <w:r>
              <w:t>Ch. 16</w:t>
            </w:r>
          </w:p>
        </w:tc>
      </w:tr>
    </w:tbl>
    <w:p w14:paraId="15342AA8" w14:textId="77777777" w:rsidR="00A84A9F" w:rsidRDefault="00A84A9F" w:rsidP="00290B81"/>
    <w:p w14:paraId="0D552E20"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D42E" w14:textId="77777777" w:rsidR="00F26E99" w:rsidRDefault="00F26E99" w:rsidP="00C43620">
      <w:pPr>
        <w:spacing w:after="0" w:line="240" w:lineRule="auto"/>
      </w:pPr>
      <w:r>
        <w:separator/>
      </w:r>
    </w:p>
  </w:endnote>
  <w:endnote w:type="continuationSeparator" w:id="0">
    <w:p w14:paraId="0FEA48B0" w14:textId="77777777" w:rsidR="00F26E99" w:rsidRDefault="00F26E99"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5250"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F26E99">
      <w:fldChar w:fldCharType="begin"/>
    </w:r>
    <w:r w:rsidR="00F26E99">
      <w:instrText xml:space="preserve"> PAGE   \* MERGEFORMAT </w:instrText>
    </w:r>
    <w:r w:rsidR="00F26E99">
      <w:fldChar w:fldCharType="separate"/>
    </w:r>
    <w:r w:rsidR="001109C3">
      <w:rPr>
        <w:noProof/>
      </w:rPr>
      <w:t>1</w:t>
    </w:r>
    <w:r w:rsidR="00F26E99">
      <w:rPr>
        <w:noProof/>
      </w:rPr>
      <w:fldChar w:fldCharType="end"/>
    </w:r>
  </w:p>
  <w:p w14:paraId="5D51C697"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FAC8" w14:textId="77777777" w:rsidR="00F26E99" w:rsidRDefault="00F26E99" w:rsidP="00C43620">
      <w:pPr>
        <w:spacing w:after="0" w:line="240" w:lineRule="auto"/>
      </w:pPr>
      <w:r>
        <w:separator/>
      </w:r>
    </w:p>
  </w:footnote>
  <w:footnote w:type="continuationSeparator" w:id="0">
    <w:p w14:paraId="2387FBC7" w14:textId="77777777" w:rsidR="00F26E99" w:rsidRDefault="00F26E99"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3NzKyMDa3NLKwNLZU0lEKTi0uzszPAykwqgUA5aCVoiwAAAA="/>
  </w:docVars>
  <w:rsids>
    <w:rsidRoot w:val="00C43620"/>
    <w:rsid w:val="000003A4"/>
    <w:rsid w:val="0007514B"/>
    <w:rsid w:val="001109C3"/>
    <w:rsid w:val="00186BB3"/>
    <w:rsid w:val="00196E51"/>
    <w:rsid w:val="0022737D"/>
    <w:rsid w:val="0023134B"/>
    <w:rsid w:val="00252591"/>
    <w:rsid w:val="00275249"/>
    <w:rsid w:val="00290B81"/>
    <w:rsid w:val="00330137"/>
    <w:rsid w:val="0042485A"/>
    <w:rsid w:val="00497D2C"/>
    <w:rsid w:val="0056276C"/>
    <w:rsid w:val="0057151F"/>
    <w:rsid w:val="00682B91"/>
    <w:rsid w:val="00751C96"/>
    <w:rsid w:val="00764062"/>
    <w:rsid w:val="0078114A"/>
    <w:rsid w:val="00782096"/>
    <w:rsid w:val="007D271A"/>
    <w:rsid w:val="00807273"/>
    <w:rsid w:val="00823459"/>
    <w:rsid w:val="00826F71"/>
    <w:rsid w:val="0083201A"/>
    <w:rsid w:val="00862937"/>
    <w:rsid w:val="0088466E"/>
    <w:rsid w:val="00892F73"/>
    <w:rsid w:val="008F3175"/>
    <w:rsid w:val="009C4F70"/>
    <w:rsid w:val="00A84A9F"/>
    <w:rsid w:val="00AF1563"/>
    <w:rsid w:val="00AF4489"/>
    <w:rsid w:val="00B66B7F"/>
    <w:rsid w:val="00BA6555"/>
    <w:rsid w:val="00BA6BE1"/>
    <w:rsid w:val="00C1511C"/>
    <w:rsid w:val="00C23299"/>
    <w:rsid w:val="00C43620"/>
    <w:rsid w:val="00C61198"/>
    <w:rsid w:val="00CD5ED7"/>
    <w:rsid w:val="00D8284D"/>
    <w:rsid w:val="00DA3373"/>
    <w:rsid w:val="00DA76E8"/>
    <w:rsid w:val="00DC5B4C"/>
    <w:rsid w:val="00E17E60"/>
    <w:rsid w:val="00E507A2"/>
    <w:rsid w:val="00E62C51"/>
    <w:rsid w:val="00EB16F5"/>
    <w:rsid w:val="00F26E99"/>
    <w:rsid w:val="00F37195"/>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674C"/>
  <w15:docId w15:val="{EE1D0004-3777-4B81-9EF8-03852A43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16</cp:revision>
  <cp:lastPrinted>2013-09-06T12:31:00Z</cp:lastPrinted>
  <dcterms:created xsi:type="dcterms:W3CDTF">2025-11-16T13:12:00Z</dcterms:created>
  <dcterms:modified xsi:type="dcterms:W3CDTF">2025-12-03T09:05:00Z</dcterms:modified>
</cp:coreProperties>
</file>