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6425" w14:textId="77777777" w:rsidR="003E5046" w:rsidRDefault="003E5046" w:rsidP="003E5046">
      <w:pPr>
        <w:pStyle w:val="Header"/>
        <w:jc w:val="center"/>
        <w:rPr>
          <w:b/>
          <w:sz w:val="28"/>
          <w:szCs w:val="28"/>
          <w:u w:val="single"/>
        </w:rPr>
      </w:pPr>
      <w:r>
        <w:rPr>
          <w:b/>
          <w:noProof/>
          <w:sz w:val="28"/>
          <w:szCs w:val="28"/>
          <w:u w:val="single"/>
          <w:lang w:bidi="ar-SA"/>
        </w:rPr>
        <w:drawing>
          <wp:inline distT="0" distB="0" distL="0" distR="0" wp14:anchorId="595ED571" wp14:editId="262F4132">
            <wp:extent cx="1817505" cy="704850"/>
            <wp:effectExtent l="19050" t="0" r="0" b="0"/>
            <wp:docPr id="16"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5DE8D24E" w14:textId="77777777" w:rsidR="003E5046" w:rsidRDefault="003E5046" w:rsidP="003E5046">
      <w:pPr>
        <w:pStyle w:val="Header"/>
        <w:jc w:val="center"/>
        <w:rPr>
          <w:b/>
          <w:sz w:val="28"/>
          <w:szCs w:val="28"/>
          <w:u w:val="single"/>
        </w:rPr>
      </w:pPr>
    </w:p>
    <w:p w14:paraId="47D8E5A2" w14:textId="77777777" w:rsidR="003E5046" w:rsidRPr="006F2EF7" w:rsidRDefault="003E5046" w:rsidP="003E5046">
      <w:pPr>
        <w:pStyle w:val="Header"/>
        <w:jc w:val="center"/>
        <w:rPr>
          <w:sz w:val="28"/>
          <w:szCs w:val="28"/>
          <w:u w:val="single"/>
        </w:rPr>
      </w:pPr>
      <w:r w:rsidRPr="006F2EF7">
        <w:rPr>
          <w:b/>
          <w:sz w:val="28"/>
          <w:szCs w:val="28"/>
          <w:u w:val="single"/>
        </w:rPr>
        <w:t>University of Management and Technology</w:t>
      </w:r>
    </w:p>
    <w:p w14:paraId="66EE55E2" w14:textId="77777777" w:rsidR="0078114A" w:rsidRDefault="0078114A" w:rsidP="00330137">
      <w:pPr>
        <w:spacing w:line="240" w:lineRule="auto"/>
        <w:jc w:val="center"/>
      </w:pPr>
    </w:p>
    <w:p w14:paraId="6061BDBB"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20B887BA" w14:textId="77777777" w:rsidR="00782096" w:rsidRDefault="00C43620" w:rsidP="00C43620">
      <w:r>
        <w:t>Course code: PH-768                Course title: Emerging Energy Technologies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62252A" w:rsidRPr="006F2EF7" w14:paraId="79A834A0" w14:textId="77777777" w:rsidTr="002C0264">
        <w:trPr>
          <w:trHeight w:val="1230"/>
        </w:trPr>
        <w:tc>
          <w:tcPr>
            <w:tcW w:w="1184" w:type="pct"/>
            <w:vAlign w:val="center"/>
          </w:tcPr>
          <w:p w14:paraId="623BA769" w14:textId="77777777" w:rsidR="0062252A" w:rsidRPr="006F2EF7" w:rsidRDefault="0062252A" w:rsidP="002C0264">
            <w:pPr>
              <w:spacing w:after="0" w:line="240" w:lineRule="auto"/>
              <w:rPr>
                <w:szCs w:val="24"/>
              </w:rPr>
            </w:pPr>
            <w:r w:rsidRPr="006F2EF7">
              <w:rPr>
                <w:szCs w:val="24"/>
              </w:rPr>
              <w:t>Program</w:t>
            </w:r>
          </w:p>
        </w:tc>
        <w:tc>
          <w:tcPr>
            <w:tcW w:w="3816" w:type="pct"/>
            <w:vAlign w:val="center"/>
          </w:tcPr>
          <w:p w14:paraId="259253DE" w14:textId="4D075A5E" w:rsidR="0062252A" w:rsidRPr="006F2EF7" w:rsidRDefault="007A7E82" w:rsidP="002C0264">
            <w:pPr>
              <w:spacing w:after="0" w:line="240" w:lineRule="auto"/>
              <w:rPr>
                <w:szCs w:val="24"/>
              </w:rPr>
            </w:pPr>
            <w:r>
              <w:rPr>
                <w:szCs w:val="24"/>
              </w:rPr>
              <w:t>MS/PhD Physics</w:t>
            </w:r>
          </w:p>
        </w:tc>
      </w:tr>
      <w:tr w:rsidR="0062252A" w:rsidRPr="006F2EF7" w14:paraId="68B7A14A" w14:textId="77777777" w:rsidTr="002C0264">
        <w:trPr>
          <w:trHeight w:val="1140"/>
        </w:trPr>
        <w:tc>
          <w:tcPr>
            <w:tcW w:w="1184" w:type="pct"/>
            <w:vAlign w:val="center"/>
          </w:tcPr>
          <w:p w14:paraId="44F7DB2E" w14:textId="77777777" w:rsidR="0062252A" w:rsidRPr="006F2EF7" w:rsidRDefault="0062252A" w:rsidP="002C0264">
            <w:pPr>
              <w:spacing w:after="0" w:line="240" w:lineRule="auto"/>
              <w:rPr>
                <w:szCs w:val="24"/>
              </w:rPr>
            </w:pPr>
            <w:r w:rsidRPr="006F2EF7">
              <w:rPr>
                <w:szCs w:val="24"/>
              </w:rPr>
              <w:t>Credit Hours</w:t>
            </w:r>
          </w:p>
        </w:tc>
        <w:tc>
          <w:tcPr>
            <w:tcW w:w="3816" w:type="pct"/>
            <w:vAlign w:val="center"/>
          </w:tcPr>
          <w:p w14:paraId="73A053B1" w14:textId="77777777" w:rsidR="0062252A" w:rsidRPr="006F2EF7" w:rsidRDefault="0062252A" w:rsidP="002C0264">
            <w:pPr>
              <w:spacing w:after="0" w:line="240" w:lineRule="auto"/>
              <w:rPr>
                <w:szCs w:val="24"/>
              </w:rPr>
            </w:pPr>
            <w:r w:rsidRPr="006F2EF7">
              <w:rPr>
                <w:szCs w:val="24"/>
              </w:rPr>
              <w:t>03</w:t>
            </w:r>
          </w:p>
        </w:tc>
      </w:tr>
      <w:tr w:rsidR="0062252A" w:rsidRPr="006F2EF7" w14:paraId="550C5611" w14:textId="77777777" w:rsidTr="002C0264">
        <w:trPr>
          <w:trHeight w:val="1140"/>
        </w:trPr>
        <w:tc>
          <w:tcPr>
            <w:tcW w:w="1184" w:type="pct"/>
            <w:vAlign w:val="center"/>
          </w:tcPr>
          <w:p w14:paraId="67B3749D" w14:textId="77777777" w:rsidR="0062252A" w:rsidRPr="006F2EF7" w:rsidRDefault="0062252A" w:rsidP="002C0264">
            <w:pPr>
              <w:spacing w:after="0" w:line="240" w:lineRule="auto"/>
              <w:rPr>
                <w:szCs w:val="24"/>
              </w:rPr>
            </w:pPr>
            <w:r w:rsidRPr="006F2EF7">
              <w:rPr>
                <w:szCs w:val="24"/>
              </w:rPr>
              <w:t>Duration</w:t>
            </w:r>
          </w:p>
        </w:tc>
        <w:tc>
          <w:tcPr>
            <w:tcW w:w="3816" w:type="pct"/>
            <w:vAlign w:val="center"/>
          </w:tcPr>
          <w:p w14:paraId="6A8D97FB" w14:textId="77777777" w:rsidR="0062252A" w:rsidRPr="006F2EF7" w:rsidRDefault="0062252A" w:rsidP="002C0264">
            <w:pPr>
              <w:spacing w:after="0" w:line="240" w:lineRule="auto"/>
              <w:rPr>
                <w:szCs w:val="24"/>
              </w:rPr>
            </w:pPr>
            <w:r w:rsidRPr="006F2EF7">
              <w:rPr>
                <w:szCs w:val="24"/>
              </w:rPr>
              <w:t>16 weeks</w:t>
            </w:r>
          </w:p>
        </w:tc>
      </w:tr>
      <w:tr w:rsidR="0062252A" w:rsidRPr="006F2EF7" w14:paraId="348A70AB" w14:textId="77777777" w:rsidTr="002C0264">
        <w:trPr>
          <w:trHeight w:val="1230"/>
        </w:trPr>
        <w:tc>
          <w:tcPr>
            <w:tcW w:w="1184" w:type="pct"/>
            <w:vAlign w:val="center"/>
          </w:tcPr>
          <w:p w14:paraId="554EBADE" w14:textId="77777777" w:rsidR="0062252A" w:rsidRPr="006F2EF7" w:rsidRDefault="0062252A" w:rsidP="002C0264">
            <w:pPr>
              <w:spacing w:after="0" w:line="240" w:lineRule="auto"/>
              <w:rPr>
                <w:szCs w:val="24"/>
              </w:rPr>
            </w:pPr>
            <w:r w:rsidRPr="006F2EF7">
              <w:rPr>
                <w:szCs w:val="24"/>
              </w:rPr>
              <w:t>Prerequisites</w:t>
            </w:r>
          </w:p>
        </w:tc>
        <w:tc>
          <w:tcPr>
            <w:tcW w:w="3816" w:type="pct"/>
            <w:vAlign w:val="center"/>
          </w:tcPr>
          <w:p w14:paraId="4863B7AE" w14:textId="77777777" w:rsidR="0062252A" w:rsidRPr="006F2EF7" w:rsidRDefault="0062252A" w:rsidP="002C0264">
            <w:pPr>
              <w:rPr>
                <w:szCs w:val="24"/>
              </w:rPr>
            </w:pPr>
            <w:r w:rsidRPr="006F2EF7">
              <w:rPr>
                <w:szCs w:val="24"/>
              </w:rPr>
              <w:t>Statistical Mechanics</w:t>
            </w:r>
          </w:p>
        </w:tc>
      </w:tr>
      <w:tr w:rsidR="0062252A" w:rsidRPr="006F2EF7" w14:paraId="6F913BBE" w14:textId="77777777" w:rsidTr="002C0264">
        <w:trPr>
          <w:trHeight w:val="1140"/>
        </w:trPr>
        <w:tc>
          <w:tcPr>
            <w:tcW w:w="1184" w:type="pct"/>
          </w:tcPr>
          <w:p w14:paraId="3E111D86" w14:textId="77777777" w:rsidR="0062252A" w:rsidRPr="006F2EF7" w:rsidRDefault="0062252A" w:rsidP="002C0264">
            <w:pPr>
              <w:spacing w:after="0" w:line="240" w:lineRule="auto"/>
              <w:rPr>
                <w:szCs w:val="24"/>
              </w:rPr>
            </w:pPr>
          </w:p>
          <w:p w14:paraId="31A66982" w14:textId="77777777" w:rsidR="0062252A" w:rsidRPr="006F2EF7" w:rsidRDefault="0062252A" w:rsidP="002C0264">
            <w:pPr>
              <w:spacing w:after="0" w:line="240" w:lineRule="auto"/>
              <w:rPr>
                <w:szCs w:val="24"/>
              </w:rPr>
            </w:pPr>
            <w:r w:rsidRPr="006F2EF7">
              <w:rPr>
                <w:szCs w:val="24"/>
              </w:rPr>
              <w:t>Resource Person</w:t>
            </w:r>
          </w:p>
        </w:tc>
        <w:tc>
          <w:tcPr>
            <w:tcW w:w="3816" w:type="pct"/>
          </w:tcPr>
          <w:p w14:paraId="582A732C" w14:textId="77777777" w:rsidR="0062252A" w:rsidRPr="006F2EF7" w:rsidRDefault="0062252A" w:rsidP="002C0264">
            <w:pPr>
              <w:spacing w:after="0" w:line="240" w:lineRule="auto"/>
              <w:rPr>
                <w:szCs w:val="24"/>
              </w:rPr>
            </w:pPr>
          </w:p>
        </w:tc>
      </w:tr>
      <w:tr w:rsidR="0062252A" w:rsidRPr="006F2EF7" w14:paraId="7F96223E" w14:textId="77777777" w:rsidTr="002C0264">
        <w:trPr>
          <w:trHeight w:val="1140"/>
        </w:trPr>
        <w:tc>
          <w:tcPr>
            <w:tcW w:w="1184" w:type="pct"/>
          </w:tcPr>
          <w:p w14:paraId="31ADE348" w14:textId="77777777" w:rsidR="0062252A" w:rsidRPr="006F2EF7" w:rsidRDefault="0062252A" w:rsidP="002C0264">
            <w:pPr>
              <w:spacing w:after="0" w:line="240" w:lineRule="auto"/>
              <w:rPr>
                <w:szCs w:val="24"/>
              </w:rPr>
            </w:pPr>
          </w:p>
          <w:p w14:paraId="76F51359" w14:textId="77777777" w:rsidR="0062252A" w:rsidRPr="006F2EF7" w:rsidRDefault="0062252A" w:rsidP="002C0264">
            <w:pPr>
              <w:spacing w:after="0" w:line="240" w:lineRule="auto"/>
              <w:rPr>
                <w:szCs w:val="24"/>
              </w:rPr>
            </w:pPr>
            <w:r w:rsidRPr="006F2EF7">
              <w:rPr>
                <w:szCs w:val="24"/>
              </w:rPr>
              <w:t>Counseling Timing</w:t>
            </w:r>
          </w:p>
          <w:p w14:paraId="32F44780" w14:textId="77777777" w:rsidR="0062252A" w:rsidRPr="006F2EF7" w:rsidRDefault="0062252A" w:rsidP="002C0264">
            <w:pPr>
              <w:spacing w:after="0" w:line="240" w:lineRule="auto"/>
              <w:rPr>
                <w:szCs w:val="24"/>
              </w:rPr>
            </w:pPr>
          </w:p>
          <w:p w14:paraId="6067D13D" w14:textId="77777777" w:rsidR="0062252A" w:rsidRPr="006F2EF7" w:rsidRDefault="0062252A" w:rsidP="002C0264">
            <w:pPr>
              <w:spacing w:after="0" w:line="240" w:lineRule="auto"/>
              <w:rPr>
                <w:szCs w:val="24"/>
              </w:rPr>
            </w:pPr>
            <w:r>
              <w:rPr>
                <w:szCs w:val="24"/>
              </w:rPr>
              <w:t xml:space="preserve">(Room# </w:t>
            </w:r>
            <w:r w:rsidRPr="006F2EF7">
              <w:rPr>
                <w:szCs w:val="24"/>
              </w:rPr>
              <w:t>)</w:t>
            </w:r>
          </w:p>
        </w:tc>
        <w:tc>
          <w:tcPr>
            <w:tcW w:w="3816" w:type="pct"/>
          </w:tcPr>
          <w:p w14:paraId="09D305E7" w14:textId="77777777" w:rsidR="0062252A" w:rsidRPr="006F2EF7" w:rsidRDefault="0062252A" w:rsidP="002C0264">
            <w:pPr>
              <w:spacing w:after="0" w:line="240" w:lineRule="auto"/>
              <w:rPr>
                <w:szCs w:val="24"/>
              </w:rPr>
            </w:pPr>
          </w:p>
        </w:tc>
      </w:tr>
      <w:tr w:rsidR="0062252A" w:rsidRPr="006F2EF7" w14:paraId="317572B2" w14:textId="77777777" w:rsidTr="002C0264">
        <w:trPr>
          <w:trHeight w:val="1140"/>
        </w:trPr>
        <w:tc>
          <w:tcPr>
            <w:tcW w:w="1184" w:type="pct"/>
          </w:tcPr>
          <w:p w14:paraId="3DAC8E9F" w14:textId="77777777" w:rsidR="0062252A" w:rsidRPr="006F2EF7" w:rsidRDefault="0062252A" w:rsidP="002C0264">
            <w:pPr>
              <w:spacing w:after="0" w:line="240" w:lineRule="auto"/>
              <w:rPr>
                <w:szCs w:val="24"/>
              </w:rPr>
            </w:pPr>
          </w:p>
          <w:p w14:paraId="1FE84B65" w14:textId="77777777" w:rsidR="0062252A" w:rsidRPr="006F2EF7" w:rsidRDefault="0062252A" w:rsidP="002C0264">
            <w:pPr>
              <w:spacing w:after="0" w:line="240" w:lineRule="auto"/>
              <w:rPr>
                <w:szCs w:val="24"/>
              </w:rPr>
            </w:pPr>
          </w:p>
          <w:p w14:paraId="2DA12F2B" w14:textId="77777777" w:rsidR="0062252A" w:rsidRPr="006F2EF7" w:rsidRDefault="0062252A" w:rsidP="002C0264">
            <w:pPr>
              <w:spacing w:after="0" w:line="240" w:lineRule="auto"/>
              <w:rPr>
                <w:szCs w:val="24"/>
              </w:rPr>
            </w:pPr>
            <w:r w:rsidRPr="006F2EF7">
              <w:rPr>
                <w:szCs w:val="24"/>
              </w:rPr>
              <w:t>Contact</w:t>
            </w:r>
          </w:p>
        </w:tc>
        <w:tc>
          <w:tcPr>
            <w:tcW w:w="3816" w:type="pct"/>
          </w:tcPr>
          <w:p w14:paraId="1B9B576B" w14:textId="77777777" w:rsidR="0062252A" w:rsidRPr="006F2EF7" w:rsidRDefault="0062252A" w:rsidP="002C0264">
            <w:pPr>
              <w:spacing w:after="0" w:line="240" w:lineRule="auto"/>
              <w:rPr>
                <w:szCs w:val="24"/>
              </w:rPr>
            </w:pPr>
          </w:p>
        </w:tc>
      </w:tr>
    </w:tbl>
    <w:p w14:paraId="01BDF3CE" w14:textId="77777777" w:rsidR="0062252A" w:rsidRDefault="0062252A" w:rsidP="00C43620"/>
    <w:p w14:paraId="6F3ED0D8" w14:textId="77777777" w:rsidR="0062252A" w:rsidRDefault="0062252A" w:rsidP="00C43620"/>
    <w:p w14:paraId="57DED259" w14:textId="77777777" w:rsidR="00C43620" w:rsidRDefault="00C43620" w:rsidP="00C43620">
      <w:pPr>
        <w:rPr>
          <w:b/>
          <w:sz w:val="28"/>
          <w:szCs w:val="28"/>
          <w:u w:val="single"/>
        </w:rPr>
      </w:pPr>
      <w:r>
        <w:rPr>
          <w:b/>
          <w:sz w:val="28"/>
          <w:szCs w:val="28"/>
          <w:u w:val="single"/>
        </w:rPr>
        <w:lastRenderedPageBreak/>
        <w:t>Learning Objective:</w:t>
      </w:r>
    </w:p>
    <w:p w14:paraId="1A38960C" w14:textId="77777777" w:rsidR="00C43620" w:rsidRPr="009F067E" w:rsidRDefault="00C43620" w:rsidP="00C43620">
      <w:pPr>
        <w:rPr>
          <w:b/>
        </w:rPr>
      </w:pPr>
      <w:r>
        <w:t>This course introduces students to cutting-edge energy technologies that are shaping the future of global energy systems. Topics include advanced solar and wind technologies, hydrogen production and storage, fuel cells, nuclear fusion developments, smart grids, energy storage systems, carbon capture, and emerging sustainable technologies. Students will gain an understanding of scientific principles, technological advancements, and real-world applications in the transition to clean and sustainable energy.</w:t>
      </w:r>
    </w:p>
    <w:p w14:paraId="07E10B8D" w14:textId="77777777"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14:paraId="5F84D4BF" w14:textId="77777777" w:rsidR="009F067E" w:rsidRDefault="00C43620" w:rsidP="00C43620">
      <w:r>
        <w:t>Lectures, multimedia demonstrations, case studies, assignments, quizzes, and research-based class discussions. Students will analyze recent innovations, global energy trends, and scientific literature on emerging technologies. Problem-solving sessions will integrate physics principles with engineering approaches to renewable and sustainable energy.</w:t>
      </w:r>
    </w:p>
    <w:p w14:paraId="05E289E4"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5ED0B5E2" w14:textId="77777777" w:rsidR="00EB7F14" w:rsidRDefault="00290B81" w:rsidP="003F675D">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EB7F14" w:rsidRPr="006F2EF7" w14:paraId="230D0E69" w14:textId="77777777" w:rsidTr="002C0264">
        <w:tc>
          <w:tcPr>
            <w:tcW w:w="2500" w:type="pct"/>
          </w:tcPr>
          <w:p w14:paraId="07DE98F0" w14:textId="77777777" w:rsidR="00EB7F14" w:rsidRPr="00453A86" w:rsidRDefault="00EB7F14" w:rsidP="002C0264">
            <w:pPr>
              <w:jc w:val="center"/>
              <w:rPr>
                <w:b/>
                <w:szCs w:val="24"/>
              </w:rPr>
            </w:pPr>
            <w:r w:rsidRPr="00453A86">
              <w:rPr>
                <w:b/>
                <w:szCs w:val="24"/>
              </w:rPr>
              <w:t>Marks Evaluation</w:t>
            </w:r>
          </w:p>
        </w:tc>
        <w:tc>
          <w:tcPr>
            <w:tcW w:w="2500" w:type="pct"/>
          </w:tcPr>
          <w:p w14:paraId="019DF001" w14:textId="77777777" w:rsidR="00EB7F14" w:rsidRPr="00453A86" w:rsidRDefault="00EB7F14" w:rsidP="002C0264">
            <w:pPr>
              <w:jc w:val="center"/>
              <w:rPr>
                <w:b/>
                <w:szCs w:val="24"/>
              </w:rPr>
            </w:pPr>
            <w:r w:rsidRPr="00453A86">
              <w:rPr>
                <w:b/>
                <w:szCs w:val="24"/>
              </w:rPr>
              <w:t>Marks in percentage</w:t>
            </w:r>
          </w:p>
        </w:tc>
      </w:tr>
      <w:tr w:rsidR="00EB7F14" w:rsidRPr="006F2EF7" w14:paraId="303BBD48" w14:textId="77777777" w:rsidTr="002C0264">
        <w:tc>
          <w:tcPr>
            <w:tcW w:w="2500" w:type="pct"/>
            <w:vAlign w:val="center"/>
          </w:tcPr>
          <w:p w14:paraId="46EEA6E4" w14:textId="77777777" w:rsidR="00EB7F14" w:rsidRPr="006F2EF7" w:rsidRDefault="00EB7F14" w:rsidP="002C0264">
            <w:pPr>
              <w:jc w:val="center"/>
              <w:rPr>
                <w:szCs w:val="24"/>
              </w:rPr>
            </w:pPr>
            <w:r w:rsidRPr="006F2EF7">
              <w:rPr>
                <w:szCs w:val="24"/>
              </w:rPr>
              <w:t>Quizzes</w:t>
            </w:r>
          </w:p>
        </w:tc>
        <w:tc>
          <w:tcPr>
            <w:tcW w:w="2500" w:type="pct"/>
            <w:vAlign w:val="center"/>
          </w:tcPr>
          <w:p w14:paraId="4C854884" w14:textId="77777777" w:rsidR="00EB7F14" w:rsidRPr="006F2EF7" w:rsidRDefault="00EB7F14" w:rsidP="002C0264">
            <w:pPr>
              <w:jc w:val="center"/>
              <w:rPr>
                <w:szCs w:val="24"/>
              </w:rPr>
            </w:pPr>
            <w:r w:rsidRPr="006F2EF7">
              <w:rPr>
                <w:szCs w:val="24"/>
              </w:rPr>
              <w:t>10%</w:t>
            </w:r>
          </w:p>
        </w:tc>
      </w:tr>
      <w:tr w:rsidR="00EB7F14" w:rsidRPr="006F2EF7" w14:paraId="2C8772DB" w14:textId="77777777" w:rsidTr="002C0264">
        <w:tc>
          <w:tcPr>
            <w:tcW w:w="2500" w:type="pct"/>
            <w:vAlign w:val="center"/>
          </w:tcPr>
          <w:p w14:paraId="7ED93803" w14:textId="77777777" w:rsidR="00EB7F14" w:rsidRPr="006F2EF7" w:rsidRDefault="00EB7F14" w:rsidP="002C0264">
            <w:pPr>
              <w:jc w:val="center"/>
              <w:rPr>
                <w:szCs w:val="24"/>
              </w:rPr>
            </w:pPr>
            <w:r w:rsidRPr="006F2EF7">
              <w:rPr>
                <w:szCs w:val="24"/>
              </w:rPr>
              <w:t>Assignments</w:t>
            </w:r>
          </w:p>
        </w:tc>
        <w:tc>
          <w:tcPr>
            <w:tcW w:w="2500" w:type="pct"/>
            <w:vAlign w:val="center"/>
          </w:tcPr>
          <w:p w14:paraId="6E46C884" w14:textId="77777777" w:rsidR="00EB7F14" w:rsidRPr="006F2EF7" w:rsidRDefault="00EB7F14" w:rsidP="002C0264">
            <w:pPr>
              <w:jc w:val="center"/>
              <w:rPr>
                <w:szCs w:val="24"/>
              </w:rPr>
            </w:pPr>
            <w:r w:rsidRPr="006F2EF7">
              <w:rPr>
                <w:szCs w:val="24"/>
              </w:rPr>
              <w:t>10%</w:t>
            </w:r>
          </w:p>
        </w:tc>
      </w:tr>
      <w:tr w:rsidR="00EB7F14" w:rsidRPr="006F2EF7" w14:paraId="3A6B5D93" w14:textId="77777777" w:rsidTr="002C0264">
        <w:tc>
          <w:tcPr>
            <w:tcW w:w="2500" w:type="pct"/>
            <w:vAlign w:val="center"/>
          </w:tcPr>
          <w:p w14:paraId="634DFB9F" w14:textId="77777777" w:rsidR="00EB7F14" w:rsidRPr="006F2EF7" w:rsidRDefault="00EB7F14" w:rsidP="002C0264">
            <w:pPr>
              <w:jc w:val="center"/>
              <w:rPr>
                <w:szCs w:val="24"/>
              </w:rPr>
            </w:pPr>
            <w:r w:rsidRPr="006F2EF7">
              <w:rPr>
                <w:szCs w:val="24"/>
              </w:rPr>
              <w:t>Mid Term</w:t>
            </w:r>
          </w:p>
        </w:tc>
        <w:tc>
          <w:tcPr>
            <w:tcW w:w="2500" w:type="pct"/>
            <w:vAlign w:val="center"/>
          </w:tcPr>
          <w:p w14:paraId="41BAE837" w14:textId="77777777" w:rsidR="00EB7F14" w:rsidRPr="006F2EF7" w:rsidRDefault="00EB7F14" w:rsidP="002C0264">
            <w:pPr>
              <w:jc w:val="center"/>
              <w:rPr>
                <w:szCs w:val="24"/>
              </w:rPr>
            </w:pPr>
            <w:r w:rsidRPr="006F2EF7">
              <w:rPr>
                <w:szCs w:val="24"/>
              </w:rPr>
              <w:t>20%</w:t>
            </w:r>
          </w:p>
        </w:tc>
      </w:tr>
      <w:tr w:rsidR="00EB7F14" w:rsidRPr="006F2EF7" w14:paraId="4C46C49E" w14:textId="77777777" w:rsidTr="002C0264">
        <w:tc>
          <w:tcPr>
            <w:tcW w:w="2500" w:type="pct"/>
            <w:vAlign w:val="center"/>
          </w:tcPr>
          <w:p w14:paraId="43F190D7" w14:textId="77777777" w:rsidR="00EB7F14" w:rsidRPr="006F2EF7" w:rsidRDefault="00EB7F14" w:rsidP="002C0264">
            <w:pPr>
              <w:jc w:val="center"/>
              <w:rPr>
                <w:szCs w:val="24"/>
              </w:rPr>
            </w:pPr>
            <w:r w:rsidRPr="006F2EF7">
              <w:rPr>
                <w:szCs w:val="24"/>
              </w:rPr>
              <w:t>Attendance &amp; Class Participation</w:t>
            </w:r>
          </w:p>
        </w:tc>
        <w:tc>
          <w:tcPr>
            <w:tcW w:w="2500" w:type="pct"/>
            <w:vAlign w:val="center"/>
          </w:tcPr>
          <w:p w14:paraId="254E6A0A" w14:textId="77777777" w:rsidR="00EB7F14" w:rsidRPr="006F2EF7" w:rsidRDefault="00EB7F14" w:rsidP="002C0264">
            <w:pPr>
              <w:jc w:val="center"/>
              <w:rPr>
                <w:szCs w:val="24"/>
              </w:rPr>
            </w:pPr>
            <w:r w:rsidRPr="006F2EF7">
              <w:rPr>
                <w:szCs w:val="24"/>
              </w:rPr>
              <w:t>10%</w:t>
            </w:r>
          </w:p>
        </w:tc>
      </w:tr>
      <w:tr w:rsidR="00EB7F14" w:rsidRPr="006F2EF7" w14:paraId="51D57F1E" w14:textId="77777777" w:rsidTr="002C0264">
        <w:tc>
          <w:tcPr>
            <w:tcW w:w="2500" w:type="pct"/>
            <w:vAlign w:val="center"/>
          </w:tcPr>
          <w:p w14:paraId="51F1CA13" w14:textId="77777777" w:rsidR="00EB7F14" w:rsidRPr="006F2EF7" w:rsidRDefault="00EB7F14" w:rsidP="002C0264">
            <w:pPr>
              <w:jc w:val="center"/>
              <w:rPr>
                <w:szCs w:val="24"/>
              </w:rPr>
            </w:pPr>
            <w:r w:rsidRPr="006F2EF7">
              <w:rPr>
                <w:szCs w:val="24"/>
              </w:rPr>
              <w:t>Term Project</w:t>
            </w:r>
          </w:p>
        </w:tc>
        <w:tc>
          <w:tcPr>
            <w:tcW w:w="2500" w:type="pct"/>
            <w:vAlign w:val="center"/>
          </w:tcPr>
          <w:p w14:paraId="43E20B3A" w14:textId="77777777" w:rsidR="00EB7F14" w:rsidRPr="006F2EF7" w:rsidRDefault="00EB7F14" w:rsidP="002C0264">
            <w:pPr>
              <w:jc w:val="center"/>
              <w:rPr>
                <w:szCs w:val="24"/>
              </w:rPr>
            </w:pPr>
            <w:r w:rsidRPr="006F2EF7">
              <w:rPr>
                <w:szCs w:val="24"/>
              </w:rPr>
              <w:t>10%</w:t>
            </w:r>
          </w:p>
        </w:tc>
      </w:tr>
      <w:tr w:rsidR="00EB7F14" w:rsidRPr="006F2EF7" w14:paraId="7F34D7F3" w14:textId="77777777" w:rsidTr="002C0264">
        <w:tc>
          <w:tcPr>
            <w:tcW w:w="2500" w:type="pct"/>
            <w:vAlign w:val="center"/>
          </w:tcPr>
          <w:p w14:paraId="067A93F1" w14:textId="77777777" w:rsidR="00EB7F14" w:rsidRPr="006F2EF7" w:rsidRDefault="00EB7F14" w:rsidP="002C0264">
            <w:pPr>
              <w:jc w:val="center"/>
              <w:rPr>
                <w:szCs w:val="24"/>
              </w:rPr>
            </w:pPr>
            <w:r w:rsidRPr="006F2EF7">
              <w:rPr>
                <w:szCs w:val="24"/>
              </w:rPr>
              <w:t>Presentations</w:t>
            </w:r>
          </w:p>
        </w:tc>
        <w:tc>
          <w:tcPr>
            <w:tcW w:w="2500" w:type="pct"/>
            <w:vAlign w:val="center"/>
          </w:tcPr>
          <w:p w14:paraId="278A4990" w14:textId="77777777" w:rsidR="00EB7F14" w:rsidRPr="006F2EF7" w:rsidRDefault="00EB7F14" w:rsidP="002C0264">
            <w:pPr>
              <w:jc w:val="center"/>
              <w:rPr>
                <w:szCs w:val="24"/>
              </w:rPr>
            </w:pPr>
            <w:r w:rsidRPr="006F2EF7">
              <w:rPr>
                <w:szCs w:val="24"/>
              </w:rPr>
              <w:t>10%</w:t>
            </w:r>
          </w:p>
        </w:tc>
      </w:tr>
      <w:tr w:rsidR="00EB7F14" w:rsidRPr="006F2EF7" w14:paraId="401E99A1" w14:textId="77777777" w:rsidTr="002C0264">
        <w:tc>
          <w:tcPr>
            <w:tcW w:w="2500" w:type="pct"/>
            <w:vAlign w:val="center"/>
          </w:tcPr>
          <w:p w14:paraId="294D7FC9" w14:textId="77777777" w:rsidR="00EB7F14" w:rsidRPr="006F2EF7" w:rsidRDefault="00EB7F14" w:rsidP="002C0264">
            <w:pPr>
              <w:jc w:val="center"/>
              <w:rPr>
                <w:szCs w:val="24"/>
              </w:rPr>
            </w:pPr>
            <w:r w:rsidRPr="006F2EF7">
              <w:rPr>
                <w:szCs w:val="24"/>
              </w:rPr>
              <w:t>Final exam</w:t>
            </w:r>
          </w:p>
        </w:tc>
        <w:tc>
          <w:tcPr>
            <w:tcW w:w="2500" w:type="pct"/>
            <w:vAlign w:val="center"/>
          </w:tcPr>
          <w:p w14:paraId="1D2C1B43" w14:textId="77777777" w:rsidR="00EB7F14" w:rsidRPr="006F2EF7" w:rsidRDefault="00EB7F14" w:rsidP="002C0264">
            <w:pPr>
              <w:jc w:val="center"/>
              <w:rPr>
                <w:szCs w:val="24"/>
              </w:rPr>
            </w:pPr>
            <w:r w:rsidRPr="006F2EF7">
              <w:rPr>
                <w:szCs w:val="24"/>
              </w:rPr>
              <w:t>30%</w:t>
            </w:r>
          </w:p>
        </w:tc>
      </w:tr>
      <w:tr w:rsidR="00EB7F14" w:rsidRPr="006F2EF7" w14:paraId="0505D65C" w14:textId="77777777" w:rsidTr="002C0264">
        <w:tc>
          <w:tcPr>
            <w:tcW w:w="2500" w:type="pct"/>
            <w:vAlign w:val="center"/>
          </w:tcPr>
          <w:p w14:paraId="70F8897B" w14:textId="77777777" w:rsidR="00EB7F14" w:rsidRPr="006F2EF7" w:rsidRDefault="00EB7F14" w:rsidP="002C0264">
            <w:pPr>
              <w:jc w:val="center"/>
              <w:rPr>
                <w:szCs w:val="24"/>
              </w:rPr>
            </w:pPr>
            <w:r w:rsidRPr="006F2EF7">
              <w:rPr>
                <w:szCs w:val="24"/>
              </w:rPr>
              <w:t>Total</w:t>
            </w:r>
          </w:p>
        </w:tc>
        <w:tc>
          <w:tcPr>
            <w:tcW w:w="2500" w:type="pct"/>
            <w:vAlign w:val="center"/>
          </w:tcPr>
          <w:p w14:paraId="09BF2547" w14:textId="77777777" w:rsidR="00EB7F14" w:rsidRPr="006F2EF7" w:rsidRDefault="00EB7F14" w:rsidP="002C0264">
            <w:pPr>
              <w:jc w:val="center"/>
              <w:rPr>
                <w:szCs w:val="24"/>
              </w:rPr>
            </w:pPr>
            <w:r w:rsidRPr="006F2EF7">
              <w:rPr>
                <w:szCs w:val="24"/>
              </w:rPr>
              <w:t>100%</w:t>
            </w:r>
          </w:p>
        </w:tc>
      </w:tr>
    </w:tbl>
    <w:p w14:paraId="4BFD386D" w14:textId="77777777" w:rsidR="009F067E" w:rsidRDefault="003F675D" w:rsidP="003F675D">
      <w:pPr>
        <w:tabs>
          <w:tab w:val="left" w:pos="930"/>
        </w:tabs>
      </w:pPr>
      <w:r>
        <w:t xml:space="preserve"> </w:t>
      </w:r>
    </w:p>
    <w:p w14:paraId="4C6A7F7E" w14:textId="77777777" w:rsidR="009F067E" w:rsidRDefault="009F067E" w:rsidP="00290B81"/>
    <w:p w14:paraId="2CA9F312" w14:textId="77777777" w:rsidR="009F067E" w:rsidRDefault="009F067E" w:rsidP="00290B81"/>
    <w:p w14:paraId="0EDEBB68" w14:textId="77777777" w:rsidR="00B9231D" w:rsidRDefault="00B9231D" w:rsidP="00290B81"/>
    <w:p w14:paraId="11C82B4C" w14:textId="77777777" w:rsidR="00B9231D" w:rsidRDefault="00B9231D" w:rsidP="00290B81"/>
    <w:p w14:paraId="4731C406"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5B39E39C" w14:textId="77777777" w:rsidR="00290B81" w:rsidRDefault="00290B81" w:rsidP="00290B81">
      <w:r>
        <w:t>1. Tester, J., Sustainable Energy: Choosing Among Options, MIT Press, 2nd Edition.</w:t>
      </w:r>
      <w:r>
        <w:br/>
      </w:r>
    </w:p>
    <w:p w14:paraId="56DDB1CF"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11FB3FBF" w14:textId="77777777" w:rsidR="0022737D" w:rsidRDefault="00290B81" w:rsidP="00290B81">
      <w:r>
        <w:t>1. Sorensen, B., Renewable Energy, 5th Edition, Academic Press.</w:t>
      </w:r>
      <w:r>
        <w:br/>
        <w:t>2. David MacKay, Sustainable Energy: Without the Hot Air, UIT Cambridge.</w:t>
      </w:r>
      <w:r>
        <w:br/>
        <w:t>3. James Larminie &amp; Andrew Dicks, Fuel Cell Systems Explained, Wiley.</w:t>
      </w:r>
      <w:r>
        <w:br/>
      </w:r>
    </w:p>
    <w:p w14:paraId="6EC94B4A"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3B5A4BF8" w14:textId="77777777" w:rsidR="00A84A9F" w:rsidRDefault="00A84A9F" w:rsidP="00A84A9F">
      <w:pPr>
        <w:spacing w:line="480" w:lineRule="auto"/>
      </w:pPr>
      <w:r>
        <w:t>Course code: PH-768                Course title: Emerging Energy Technologies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4B4997" w:rsidRPr="006F2EF7" w14:paraId="3926498E" w14:textId="77777777" w:rsidTr="002C0264">
        <w:trPr>
          <w:trHeight w:val="1451"/>
        </w:trPr>
        <w:tc>
          <w:tcPr>
            <w:tcW w:w="465" w:type="pct"/>
            <w:vAlign w:val="center"/>
          </w:tcPr>
          <w:p w14:paraId="12214D20" w14:textId="77777777" w:rsidR="004B4997" w:rsidRPr="006F2EF7" w:rsidRDefault="004B4997" w:rsidP="002C0264">
            <w:pPr>
              <w:spacing w:after="0" w:line="480" w:lineRule="auto"/>
              <w:rPr>
                <w:b/>
                <w:szCs w:val="24"/>
              </w:rPr>
            </w:pPr>
          </w:p>
          <w:p w14:paraId="22988AE9" w14:textId="77777777" w:rsidR="004B4997" w:rsidRPr="006F2EF7" w:rsidRDefault="004B4997"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5115CEA8" w14:textId="77777777" w:rsidR="004B4997" w:rsidRPr="006F2EF7" w:rsidRDefault="004B4997" w:rsidP="002C0264">
            <w:pPr>
              <w:spacing w:after="0" w:line="480" w:lineRule="auto"/>
              <w:rPr>
                <w:b/>
                <w:szCs w:val="24"/>
              </w:rPr>
            </w:pPr>
          </w:p>
          <w:p w14:paraId="4CA5DDD8" w14:textId="77777777" w:rsidR="004B4997" w:rsidRPr="006F2EF7" w:rsidRDefault="004B4997" w:rsidP="002C0264">
            <w:pPr>
              <w:spacing w:after="0" w:line="240" w:lineRule="auto"/>
              <w:rPr>
                <w:b/>
                <w:szCs w:val="24"/>
              </w:rPr>
            </w:pPr>
            <w:r w:rsidRPr="006F2EF7">
              <w:rPr>
                <w:b/>
                <w:szCs w:val="24"/>
              </w:rPr>
              <w:t xml:space="preserve">                                    Course Contents                                                                 </w:t>
            </w:r>
          </w:p>
          <w:p w14:paraId="123C8701" w14:textId="77777777" w:rsidR="004B4997" w:rsidRPr="006F2EF7" w:rsidRDefault="004B4997" w:rsidP="002C0264">
            <w:pPr>
              <w:tabs>
                <w:tab w:val="left" w:pos="1065"/>
              </w:tabs>
              <w:spacing w:after="0" w:line="240" w:lineRule="auto"/>
              <w:rPr>
                <w:b/>
                <w:szCs w:val="24"/>
              </w:rPr>
            </w:pPr>
            <w:r w:rsidRPr="006F2EF7">
              <w:rPr>
                <w:b/>
                <w:szCs w:val="24"/>
              </w:rPr>
              <w:tab/>
            </w:r>
          </w:p>
        </w:tc>
        <w:tc>
          <w:tcPr>
            <w:tcW w:w="1242" w:type="pct"/>
            <w:vAlign w:val="center"/>
          </w:tcPr>
          <w:p w14:paraId="3713FB8B" w14:textId="77777777" w:rsidR="004B4997" w:rsidRPr="006F2EF7" w:rsidRDefault="004B4997" w:rsidP="002C0264">
            <w:pPr>
              <w:spacing w:after="0" w:line="480" w:lineRule="auto"/>
              <w:rPr>
                <w:b/>
                <w:szCs w:val="24"/>
              </w:rPr>
            </w:pPr>
          </w:p>
          <w:p w14:paraId="14A5D698" w14:textId="77777777" w:rsidR="004B4997" w:rsidRPr="006F2EF7" w:rsidRDefault="004B4997" w:rsidP="002C0264">
            <w:pPr>
              <w:spacing w:after="0" w:line="480" w:lineRule="auto"/>
              <w:rPr>
                <w:b/>
                <w:szCs w:val="24"/>
              </w:rPr>
            </w:pPr>
            <w:r w:rsidRPr="006F2EF7">
              <w:rPr>
                <w:b/>
                <w:szCs w:val="24"/>
              </w:rPr>
              <w:t>Reference Chapter(s)</w:t>
            </w:r>
          </w:p>
        </w:tc>
      </w:tr>
      <w:tr w:rsidR="004B4997" w:rsidRPr="006F2EF7" w14:paraId="1BF5800B" w14:textId="77777777" w:rsidTr="00CC62EB">
        <w:trPr>
          <w:trHeight w:val="884"/>
        </w:trPr>
        <w:tc>
          <w:tcPr>
            <w:tcW w:w="465" w:type="pct"/>
            <w:vAlign w:val="center"/>
          </w:tcPr>
          <w:p w14:paraId="0CE0993E" w14:textId="77777777" w:rsidR="004B4997" w:rsidRPr="006F2EF7" w:rsidRDefault="004B4997" w:rsidP="002C0264">
            <w:pPr>
              <w:spacing w:after="0" w:line="240" w:lineRule="auto"/>
              <w:jc w:val="center"/>
              <w:rPr>
                <w:szCs w:val="24"/>
              </w:rPr>
            </w:pPr>
            <w:r w:rsidRPr="006F2EF7">
              <w:rPr>
                <w:szCs w:val="24"/>
              </w:rPr>
              <w:t>1</w:t>
            </w:r>
          </w:p>
        </w:tc>
        <w:tc>
          <w:tcPr>
            <w:tcW w:w="3293" w:type="pct"/>
            <w:vAlign w:val="center"/>
          </w:tcPr>
          <w:p w14:paraId="1F638C08" w14:textId="77777777" w:rsidR="004B4997" w:rsidRDefault="004B4997" w:rsidP="00CC62EB">
            <w:r>
              <w:t>Global energy landscape, sustainability challenges, future trends</w:t>
            </w:r>
          </w:p>
        </w:tc>
        <w:tc>
          <w:tcPr>
            <w:tcW w:w="1242" w:type="pct"/>
            <w:vAlign w:val="center"/>
          </w:tcPr>
          <w:p w14:paraId="48FFE4B3" w14:textId="77777777" w:rsidR="004B4997" w:rsidRDefault="004B4997" w:rsidP="00CC62EB">
            <w:r>
              <w:t>Ch. 1</w:t>
            </w:r>
          </w:p>
        </w:tc>
      </w:tr>
      <w:tr w:rsidR="004B4997" w:rsidRPr="006F2EF7" w14:paraId="4C7294E1" w14:textId="77777777" w:rsidTr="00CC62EB">
        <w:trPr>
          <w:trHeight w:val="710"/>
        </w:trPr>
        <w:tc>
          <w:tcPr>
            <w:tcW w:w="465" w:type="pct"/>
            <w:vAlign w:val="center"/>
          </w:tcPr>
          <w:p w14:paraId="343DF7BE" w14:textId="77777777" w:rsidR="004B4997" w:rsidRPr="006F2EF7" w:rsidRDefault="004B4997" w:rsidP="002C0264">
            <w:pPr>
              <w:spacing w:after="0" w:line="480" w:lineRule="auto"/>
              <w:jc w:val="center"/>
              <w:rPr>
                <w:szCs w:val="24"/>
              </w:rPr>
            </w:pPr>
            <w:r w:rsidRPr="006F2EF7">
              <w:rPr>
                <w:szCs w:val="24"/>
              </w:rPr>
              <w:t>2</w:t>
            </w:r>
          </w:p>
        </w:tc>
        <w:tc>
          <w:tcPr>
            <w:tcW w:w="3293" w:type="pct"/>
            <w:vAlign w:val="center"/>
          </w:tcPr>
          <w:p w14:paraId="48561462" w14:textId="77777777" w:rsidR="004B4997" w:rsidRDefault="004B4997" w:rsidP="00CC62EB">
            <w:r>
              <w:t>Advances in solar PV technologies (PERC, TOPCon, Perovskites)</w:t>
            </w:r>
          </w:p>
        </w:tc>
        <w:tc>
          <w:tcPr>
            <w:tcW w:w="1242" w:type="pct"/>
            <w:vAlign w:val="center"/>
          </w:tcPr>
          <w:p w14:paraId="2958BDB5" w14:textId="77777777" w:rsidR="004B4997" w:rsidRDefault="004B4997" w:rsidP="00CC62EB">
            <w:r>
              <w:t>Ch. 2</w:t>
            </w:r>
          </w:p>
        </w:tc>
      </w:tr>
      <w:tr w:rsidR="004B4997" w:rsidRPr="006F2EF7" w14:paraId="4B5C4057" w14:textId="77777777" w:rsidTr="00CC62EB">
        <w:trPr>
          <w:trHeight w:val="780"/>
        </w:trPr>
        <w:tc>
          <w:tcPr>
            <w:tcW w:w="465" w:type="pct"/>
            <w:vAlign w:val="center"/>
          </w:tcPr>
          <w:p w14:paraId="62C66A8E" w14:textId="77777777" w:rsidR="004B4997" w:rsidRPr="006F2EF7" w:rsidRDefault="004B4997" w:rsidP="002C0264">
            <w:pPr>
              <w:spacing w:after="0" w:line="480" w:lineRule="auto"/>
              <w:jc w:val="center"/>
              <w:rPr>
                <w:szCs w:val="24"/>
              </w:rPr>
            </w:pPr>
            <w:r w:rsidRPr="006F2EF7">
              <w:rPr>
                <w:szCs w:val="24"/>
              </w:rPr>
              <w:t>3</w:t>
            </w:r>
          </w:p>
        </w:tc>
        <w:tc>
          <w:tcPr>
            <w:tcW w:w="3293" w:type="pct"/>
            <w:vAlign w:val="center"/>
          </w:tcPr>
          <w:p w14:paraId="70F2BC39" w14:textId="77777777" w:rsidR="004B4997" w:rsidRDefault="004B4997" w:rsidP="00CC62EB">
            <w:r>
              <w:t>Solar thermal systems, CSP, industrial solar applications</w:t>
            </w:r>
          </w:p>
        </w:tc>
        <w:tc>
          <w:tcPr>
            <w:tcW w:w="1242" w:type="pct"/>
            <w:vAlign w:val="center"/>
          </w:tcPr>
          <w:p w14:paraId="2B2BD377" w14:textId="77777777" w:rsidR="004B4997" w:rsidRDefault="004B4997" w:rsidP="00CC62EB">
            <w:r>
              <w:t>Ch. 3</w:t>
            </w:r>
          </w:p>
        </w:tc>
      </w:tr>
      <w:tr w:rsidR="004B4997" w:rsidRPr="006F2EF7" w14:paraId="4663D862" w14:textId="77777777" w:rsidTr="00CC62EB">
        <w:trPr>
          <w:trHeight w:val="678"/>
        </w:trPr>
        <w:tc>
          <w:tcPr>
            <w:tcW w:w="465" w:type="pct"/>
            <w:vAlign w:val="center"/>
          </w:tcPr>
          <w:p w14:paraId="2D1D27B8" w14:textId="77777777" w:rsidR="004B4997" w:rsidRPr="006F2EF7" w:rsidRDefault="004B4997" w:rsidP="002C0264">
            <w:pPr>
              <w:spacing w:after="0" w:line="480" w:lineRule="auto"/>
              <w:jc w:val="center"/>
              <w:rPr>
                <w:szCs w:val="24"/>
              </w:rPr>
            </w:pPr>
            <w:r w:rsidRPr="006F2EF7">
              <w:rPr>
                <w:szCs w:val="24"/>
              </w:rPr>
              <w:t>4</w:t>
            </w:r>
          </w:p>
        </w:tc>
        <w:tc>
          <w:tcPr>
            <w:tcW w:w="3293" w:type="pct"/>
            <w:vAlign w:val="center"/>
          </w:tcPr>
          <w:p w14:paraId="528976B7" w14:textId="77777777" w:rsidR="004B4997" w:rsidRDefault="004B4997" w:rsidP="00CC62EB">
            <w:r>
              <w:t>Modern wind energy systems, offshore technologies</w:t>
            </w:r>
          </w:p>
        </w:tc>
        <w:tc>
          <w:tcPr>
            <w:tcW w:w="1242" w:type="pct"/>
            <w:vAlign w:val="center"/>
          </w:tcPr>
          <w:p w14:paraId="7E9C1F25" w14:textId="77777777" w:rsidR="004B4997" w:rsidRDefault="004B4997" w:rsidP="00CC62EB">
            <w:r>
              <w:t>Ch. 4</w:t>
            </w:r>
          </w:p>
        </w:tc>
      </w:tr>
      <w:tr w:rsidR="004B4997" w:rsidRPr="006F2EF7" w14:paraId="400E1494" w14:textId="77777777" w:rsidTr="00CC62EB">
        <w:trPr>
          <w:trHeight w:val="676"/>
        </w:trPr>
        <w:tc>
          <w:tcPr>
            <w:tcW w:w="465" w:type="pct"/>
            <w:vAlign w:val="center"/>
          </w:tcPr>
          <w:p w14:paraId="7F7110DF" w14:textId="77777777" w:rsidR="004B4997" w:rsidRPr="006F2EF7" w:rsidRDefault="004B4997" w:rsidP="002C0264">
            <w:pPr>
              <w:spacing w:after="0" w:line="480" w:lineRule="auto"/>
              <w:jc w:val="center"/>
              <w:rPr>
                <w:szCs w:val="24"/>
              </w:rPr>
            </w:pPr>
            <w:r w:rsidRPr="006F2EF7">
              <w:rPr>
                <w:szCs w:val="24"/>
              </w:rPr>
              <w:t>5</w:t>
            </w:r>
          </w:p>
        </w:tc>
        <w:tc>
          <w:tcPr>
            <w:tcW w:w="3293" w:type="pct"/>
            <w:vAlign w:val="center"/>
          </w:tcPr>
          <w:p w14:paraId="2FA14315" w14:textId="77777777" w:rsidR="004B4997" w:rsidRDefault="004B4997" w:rsidP="00CC62EB">
            <w:r>
              <w:t>Hydrogen economy: production, storage, transportation</w:t>
            </w:r>
          </w:p>
        </w:tc>
        <w:tc>
          <w:tcPr>
            <w:tcW w:w="1242" w:type="pct"/>
            <w:vAlign w:val="center"/>
          </w:tcPr>
          <w:p w14:paraId="58975112" w14:textId="77777777" w:rsidR="004B4997" w:rsidRDefault="004B4997" w:rsidP="00CC62EB">
            <w:r>
              <w:t>Ch. 5</w:t>
            </w:r>
          </w:p>
        </w:tc>
      </w:tr>
      <w:tr w:rsidR="004B4997" w:rsidRPr="006F2EF7" w14:paraId="65C450D5" w14:textId="77777777" w:rsidTr="00CC62EB">
        <w:trPr>
          <w:trHeight w:val="672"/>
        </w:trPr>
        <w:tc>
          <w:tcPr>
            <w:tcW w:w="465" w:type="pct"/>
            <w:vAlign w:val="center"/>
          </w:tcPr>
          <w:p w14:paraId="773840F6" w14:textId="77777777" w:rsidR="004B4997" w:rsidRPr="006F2EF7" w:rsidRDefault="004B4997" w:rsidP="002C0264">
            <w:pPr>
              <w:spacing w:after="0" w:line="480" w:lineRule="auto"/>
              <w:jc w:val="center"/>
              <w:rPr>
                <w:szCs w:val="24"/>
              </w:rPr>
            </w:pPr>
            <w:r w:rsidRPr="006F2EF7">
              <w:rPr>
                <w:szCs w:val="24"/>
              </w:rPr>
              <w:t>6</w:t>
            </w:r>
          </w:p>
        </w:tc>
        <w:tc>
          <w:tcPr>
            <w:tcW w:w="3293" w:type="pct"/>
            <w:vAlign w:val="center"/>
          </w:tcPr>
          <w:p w14:paraId="44211D58" w14:textId="77777777" w:rsidR="004B4997" w:rsidRDefault="004B4997" w:rsidP="00CC62EB">
            <w:r>
              <w:t>Fuel cells: PEM, SOFC, Alkaline fuel cells and applications</w:t>
            </w:r>
          </w:p>
        </w:tc>
        <w:tc>
          <w:tcPr>
            <w:tcW w:w="1242" w:type="pct"/>
            <w:vAlign w:val="center"/>
          </w:tcPr>
          <w:p w14:paraId="456F9C19" w14:textId="77777777" w:rsidR="004B4997" w:rsidRDefault="004B4997" w:rsidP="00CC62EB">
            <w:r>
              <w:t>Ch. 6</w:t>
            </w:r>
          </w:p>
        </w:tc>
      </w:tr>
      <w:tr w:rsidR="004B4997" w:rsidRPr="006F2EF7" w14:paraId="7EB14B09" w14:textId="77777777" w:rsidTr="00CC62EB">
        <w:trPr>
          <w:trHeight w:val="630"/>
        </w:trPr>
        <w:tc>
          <w:tcPr>
            <w:tcW w:w="465" w:type="pct"/>
            <w:vAlign w:val="center"/>
          </w:tcPr>
          <w:p w14:paraId="375DEED8" w14:textId="77777777" w:rsidR="004B4997" w:rsidRPr="006F2EF7" w:rsidRDefault="004B4997" w:rsidP="002C0264">
            <w:pPr>
              <w:spacing w:after="0" w:line="480" w:lineRule="auto"/>
              <w:jc w:val="center"/>
              <w:rPr>
                <w:szCs w:val="24"/>
              </w:rPr>
            </w:pPr>
            <w:r w:rsidRPr="006F2EF7">
              <w:rPr>
                <w:szCs w:val="24"/>
              </w:rPr>
              <w:t>7</w:t>
            </w:r>
          </w:p>
        </w:tc>
        <w:tc>
          <w:tcPr>
            <w:tcW w:w="3293" w:type="pct"/>
            <w:vAlign w:val="center"/>
          </w:tcPr>
          <w:p w14:paraId="29A0AACA" w14:textId="77777777" w:rsidR="004B4997" w:rsidRDefault="004B4997" w:rsidP="00CC62EB">
            <w:r>
              <w:t>Energy storage: batteries, supercapacitors, thermal storage</w:t>
            </w:r>
          </w:p>
        </w:tc>
        <w:tc>
          <w:tcPr>
            <w:tcW w:w="1242" w:type="pct"/>
            <w:vAlign w:val="center"/>
          </w:tcPr>
          <w:p w14:paraId="13C4C474" w14:textId="77777777" w:rsidR="004B4997" w:rsidRDefault="004B4997" w:rsidP="00CC62EB">
            <w:r>
              <w:t>Ch. 7</w:t>
            </w:r>
          </w:p>
        </w:tc>
      </w:tr>
      <w:tr w:rsidR="004B4997" w:rsidRPr="006F2EF7" w14:paraId="22A94077" w14:textId="77777777" w:rsidTr="00CC62EB">
        <w:trPr>
          <w:trHeight w:val="682"/>
        </w:trPr>
        <w:tc>
          <w:tcPr>
            <w:tcW w:w="465" w:type="pct"/>
            <w:vAlign w:val="center"/>
          </w:tcPr>
          <w:p w14:paraId="7298A19C" w14:textId="77777777" w:rsidR="004B4997" w:rsidRPr="006F2EF7" w:rsidRDefault="004B4997" w:rsidP="002C0264">
            <w:pPr>
              <w:spacing w:after="0" w:line="480" w:lineRule="auto"/>
              <w:jc w:val="center"/>
              <w:rPr>
                <w:szCs w:val="24"/>
              </w:rPr>
            </w:pPr>
            <w:r w:rsidRPr="006F2EF7">
              <w:rPr>
                <w:szCs w:val="24"/>
              </w:rPr>
              <w:t>8</w:t>
            </w:r>
          </w:p>
        </w:tc>
        <w:tc>
          <w:tcPr>
            <w:tcW w:w="3293" w:type="pct"/>
            <w:vAlign w:val="center"/>
          </w:tcPr>
          <w:p w14:paraId="647CDBED" w14:textId="77777777" w:rsidR="004B4997" w:rsidRDefault="004B4997" w:rsidP="00CC62EB">
            <w:r>
              <w:t>Smart grids, IoT-based energy systems, grid stability</w:t>
            </w:r>
          </w:p>
        </w:tc>
        <w:tc>
          <w:tcPr>
            <w:tcW w:w="1242" w:type="pct"/>
            <w:vAlign w:val="center"/>
          </w:tcPr>
          <w:p w14:paraId="250DEF7C" w14:textId="77777777" w:rsidR="004B4997" w:rsidRDefault="004B4997" w:rsidP="00CC62EB">
            <w:r>
              <w:t>Ch. 8</w:t>
            </w:r>
          </w:p>
        </w:tc>
      </w:tr>
      <w:tr w:rsidR="004B4997" w:rsidRPr="006F2EF7" w14:paraId="7DF57202" w14:textId="77777777" w:rsidTr="00CC62EB">
        <w:trPr>
          <w:trHeight w:val="664"/>
        </w:trPr>
        <w:tc>
          <w:tcPr>
            <w:tcW w:w="465" w:type="pct"/>
            <w:vAlign w:val="center"/>
          </w:tcPr>
          <w:p w14:paraId="521AD598" w14:textId="77777777" w:rsidR="004B4997" w:rsidRPr="006F2EF7" w:rsidRDefault="004B4997" w:rsidP="002C0264">
            <w:pPr>
              <w:spacing w:after="0" w:line="480" w:lineRule="auto"/>
              <w:jc w:val="center"/>
              <w:rPr>
                <w:szCs w:val="24"/>
              </w:rPr>
            </w:pPr>
            <w:r w:rsidRPr="006F2EF7">
              <w:rPr>
                <w:szCs w:val="24"/>
              </w:rPr>
              <w:lastRenderedPageBreak/>
              <w:t>9</w:t>
            </w:r>
          </w:p>
        </w:tc>
        <w:tc>
          <w:tcPr>
            <w:tcW w:w="3293" w:type="pct"/>
            <w:vAlign w:val="center"/>
          </w:tcPr>
          <w:p w14:paraId="6A81032E" w14:textId="77777777" w:rsidR="004B4997" w:rsidRDefault="004B4997" w:rsidP="00CC62EB">
            <w:r>
              <w:t>Biomass, biofuels, waste-to-energy technologies</w:t>
            </w:r>
          </w:p>
        </w:tc>
        <w:tc>
          <w:tcPr>
            <w:tcW w:w="1242" w:type="pct"/>
            <w:vAlign w:val="center"/>
          </w:tcPr>
          <w:p w14:paraId="7263E92E" w14:textId="77777777" w:rsidR="004B4997" w:rsidRDefault="004B4997" w:rsidP="00CC62EB">
            <w:r>
              <w:t>Ch. 9</w:t>
            </w:r>
          </w:p>
        </w:tc>
      </w:tr>
      <w:tr w:rsidR="004B4997" w:rsidRPr="006F2EF7" w14:paraId="0E6117EC" w14:textId="77777777" w:rsidTr="00CC62EB">
        <w:trPr>
          <w:trHeight w:val="664"/>
        </w:trPr>
        <w:tc>
          <w:tcPr>
            <w:tcW w:w="465" w:type="pct"/>
            <w:vAlign w:val="center"/>
          </w:tcPr>
          <w:p w14:paraId="4C23B0EF" w14:textId="77777777" w:rsidR="004B4997" w:rsidRPr="006F2EF7" w:rsidRDefault="004B4997" w:rsidP="002C0264">
            <w:pPr>
              <w:spacing w:after="0" w:line="480" w:lineRule="auto"/>
              <w:jc w:val="center"/>
              <w:rPr>
                <w:szCs w:val="24"/>
              </w:rPr>
            </w:pPr>
            <w:r>
              <w:rPr>
                <w:szCs w:val="24"/>
              </w:rPr>
              <w:t>10</w:t>
            </w:r>
          </w:p>
        </w:tc>
        <w:tc>
          <w:tcPr>
            <w:tcW w:w="3293" w:type="pct"/>
            <w:vAlign w:val="center"/>
          </w:tcPr>
          <w:p w14:paraId="1047A48F" w14:textId="77777777" w:rsidR="004B4997" w:rsidRDefault="004B4997" w:rsidP="00CC62EB">
            <w:r>
              <w:t>Geothermal and ocean energy systems</w:t>
            </w:r>
          </w:p>
        </w:tc>
        <w:tc>
          <w:tcPr>
            <w:tcW w:w="1242" w:type="pct"/>
            <w:vAlign w:val="center"/>
          </w:tcPr>
          <w:p w14:paraId="2780AC5C" w14:textId="77777777" w:rsidR="004B4997" w:rsidRDefault="004B4997" w:rsidP="00CC62EB">
            <w:r>
              <w:t>Ch. 10</w:t>
            </w:r>
          </w:p>
        </w:tc>
      </w:tr>
      <w:tr w:rsidR="004B4997" w:rsidRPr="006F2EF7" w14:paraId="3980573C" w14:textId="77777777" w:rsidTr="00CC62EB">
        <w:trPr>
          <w:trHeight w:val="664"/>
        </w:trPr>
        <w:tc>
          <w:tcPr>
            <w:tcW w:w="465" w:type="pct"/>
            <w:vAlign w:val="center"/>
          </w:tcPr>
          <w:p w14:paraId="3DDF6BB0" w14:textId="77777777" w:rsidR="004B4997" w:rsidRPr="006F2EF7" w:rsidRDefault="004B4997" w:rsidP="002C0264">
            <w:pPr>
              <w:spacing w:after="0" w:line="480" w:lineRule="auto"/>
              <w:jc w:val="center"/>
              <w:rPr>
                <w:szCs w:val="24"/>
              </w:rPr>
            </w:pPr>
            <w:r>
              <w:rPr>
                <w:szCs w:val="24"/>
              </w:rPr>
              <w:t>11</w:t>
            </w:r>
          </w:p>
        </w:tc>
        <w:tc>
          <w:tcPr>
            <w:tcW w:w="3293" w:type="pct"/>
            <w:vAlign w:val="center"/>
          </w:tcPr>
          <w:p w14:paraId="3F330632" w14:textId="77777777" w:rsidR="004B4997" w:rsidRDefault="004B4997" w:rsidP="00CC62EB">
            <w:r>
              <w:t>Small modular reactors (SMRs) &amp; nuclear fusion advances</w:t>
            </w:r>
          </w:p>
        </w:tc>
        <w:tc>
          <w:tcPr>
            <w:tcW w:w="1242" w:type="pct"/>
            <w:vAlign w:val="center"/>
          </w:tcPr>
          <w:p w14:paraId="23817C0A" w14:textId="77777777" w:rsidR="004B4997" w:rsidRDefault="004B4997" w:rsidP="00CC62EB">
            <w:r>
              <w:t>Ch. 11</w:t>
            </w:r>
          </w:p>
        </w:tc>
      </w:tr>
      <w:tr w:rsidR="004B4997" w:rsidRPr="006F2EF7" w14:paraId="133AFD61" w14:textId="77777777" w:rsidTr="00CC62EB">
        <w:trPr>
          <w:trHeight w:val="664"/>
        </w:trPr>
        <w:tc>
          <w:tcPr>
            <w:tcW w:w="465" w:type="pct"/>
            <w:vAlign w:val="center"/>
          </w:tcPr>
          <w:p w14:paraId="0B9F7D34" w14:textId="77777777" w:rsidR="004B4997" w:rsidRPr="006F2EF7" w:rsidRDefault="004B4997" w:rsidP="002C0264">
            <w:pPr>
              <w:spacing w:after="0" w:line="480" w:lineRule="auto"/>
              <w:jc w:val="center"/>
              <w:rPr>
                <w:szCs w:val="24"/>
              </w:rPr>
            </w:pPr>
            <w:r>
              <w:rPr>
                <w:szCs w:val="24"/>
              </w:rPr>
              <w:t>12</w:t>
            </w:r>
          </w:p>
        </w:tc>
        <w:tc>
          <w:tcPr>
            <w:tcW w:w="3293" w:type="pct"/>
            <w:vAlign w:val="center"/>
          </w:tcPr>
          <w:p w14:paraId="0092F6A8" w14:textId="77777777" w:rsidR="004B4997" w:rsidRDefault="004B4997" w:rsidP="00CC62EB">
            <w:r>
              <w:t>Carbon capture, utilization, and storage (CCUS)</w:t>
            </w:r>
          </w:p>
        </w:tc>
        <w:tc>
          <w:tcPr>
            <w:tcW w:w="1242" w:type="pct"/>
            <w:vAlign w:val="center"/>
          </w:tcPr>
          <w:p w14:paraId="210D3871" w14:textId="77777777" w:rsidR="004B4997" w:rsidRDefault="004B4997" w:rsidP="00CC62EB">
            <w:r>
              <w:t>Ch. 12</w:t>
            </w:r>
          </w:p>
        </w:tc>
      </w:tr>
      <w:tr w:rsidR="004B4997" w:rsidRPr="006F2EF7" w14:paraId="00CAA700" w14:textId="77777777" w:rsidTr="00CC62EB">
        <w:trPr>
          <w:trHeight w:val="664"/>
        </w:trPr>
        <w:tc>
          <w:tcPr>
            <w:tcW w:w="465" w:type="pct"/>
            <w:vAlign w:val="center"/>
          </w:tcPr>
          <w:p w14:paraId="5917254D" w14:textId="77777777" w:rsidR="004B4997" w:rsidRPr="006F2EF7" w:rsidRDefault="004B4997" w:rsidP="002C0264">
            <w:pPr>
              <w:spacing w:after="0" w:line="480" w:lineRule="auto"/>
              <w:jc w:val="center"/>
              <w:rPr>
                <w:szCs w:val="24"/>
              </w:rPr>
            </w:pPr>
            <w:r>
              <w:rPr>
                <w:szCs w:val="24"/>
              </w:rPr>
              <w:t>13</w:t>
            </w:r>
          </w:p>
        </w:tc>
        <w:tc>
          <w:tcPr>
            <w:tcW w:w="3293" w:type="pct"/>
            <w:vAlign w:val="center"/>
          </w:tcPr>
          <w:p w14:paraId="67FEDFDD" w14:textId="77777777" w:rsidR="004B4997" w:rsidRDefault="004B4997" w:rsidP="00CC62EB">
            <w:r>
              <w:t>Energy materials: catalysts, membranes, semiconductors</w:t>
            </w:r>
          </w:p>
        </w:tc>
        <w:tc>
          <w:tcPr>
            <w:tcW w:w="1242" w:type="pct"/>
            <w:vAlign w:val="center"/>
          </w:tcPr>
          <w:p w14:paraId="37DEFE32" w14:textId="77777777" w:rsidR="004B4997" w:rsidRDefault="004B4997" w:rsidP="00CC62EB">
            <w:r>
              <w:t>Ch. 13</w:t>
            </w:r>
          </w:p>
        </w:tc>
      </w:tr>
      <w:tr w:rsidR="004B4997" w:rsidRPr="006F2EF7" w14:paraId="411434C0" w14:textId="77777777" w:rsidTr="00CC62EB">
        <w:trPr>
          <w:trHeight w:val="664"/>
        </w:trPr>
        <w:tc>
          <w:tcPr>
            <w:tcW w:w="465" w:type="pct"/>
            <w:vAlign w:val="center"/>
          </w:tcPr>
          <w:p w14:paraId="79754E83" w14:textId="77777777" w:rsidR="004B4997" w:rsidRPr="006F2EF7" w:rsidRDefault="004B4997" w:rsidP="002C0264">
            <w:pPr>
              <w:spacing w:after="0" w:line="480" w:lineRule="auto"/>
              <w:jc w:val="center"/>
              <w:rPr>
                <w:szCs w:val="24"/>
              </w:rPr>
            </w:pPr>
            <w:r>
              <w:rPr>
                <w:szCs w:val="24"/>
              </w:rPr>
              <w:t>14</w:t>
            </w:r>
          </w:p>
        </w:tc>
        <w:tc>
          <w:tcPr>
            <w:tcW w:w="3293" w:type="pct"/>
            <w:vAlign w:val="center"/>
          </w:tcPr>
          <w:p w14:paraId="2451FB8B" w14:textId="77777777" w:rsidR="004B4997" w:rsidRDefault="004B4997" w:rsidP="00CC62EB">
            <w:r>
              <w:t>Electric vehicles, charging infrastructure, battery management</w:t>
            </w:r>
          </w:p>
        </w:tc>
        <w:tc>
          <w:tcPr>
            <w:tcW w:w="1242" w:type="pct"/>
            <w:vAlign w:val="center"/>
          </w:tcPr>
          <w:p w14:paraId="782BBD90" w14:textId="77777777" w:rsidR="004B4997" w:rsidRDefault="004B4997" w:rsidP="00CC62EB">
            <w:r>
              <w:t>Ch. 14</w:t>
            </w:r>
          </w:p>
        </w:tc>
      </w:tr>
      <w:tr w:rsidR="004B4997" w:rsidRPr="006F2EF7" w14:paraId="3830D5C6" w14:textId="77777777" w:rsidTr="00CC62EB">
        <w:trPr>
          <w:trHeight w:val="664"/>
        </w:trPr>
        <w:tc>
          <w:tcPr>
            <w:tcW w:w="465" w:type="pct"/>
            <w:vAlign w:val="center"/>
          </w:tcPr>
          <w:p w14:paraId="3F3871E8" w14:textId="77777777" w:rsidR="004B4997" w:rsidRPr="006F2EF7" w:rsidRDefault="004B4997" w:rsidP="002C0264">
            <w:pPr>
              <w:spacing w:after="0" w:line="480" w:lineRule="auto"/>
              <w:jc w:val="center"/>
              <w:rPr>
                <w:szCs w:val="24"/>
              </w:rPr>
            </w:pPr>
            <w:r>
              <w:rPr>
                <w:szCs w:val="24"/>
              </w:rPr>
              <w:t>15</w:t>
            </w:r>
          </w:p>
        </w:tc>
        <w:tc>
          <w:tcPr>
            <w:tcW w:w="3293" w:type="pct"/>
            <w:vAlign w:val="center"/>
          </w:tcPr>
          <w:p w14:paraId="7376A80C" w14:textId="77777777" w:rsidR="004B4997" w:rsidRDefault="004B4997" w:rsidP="00CC62EB">
            <w:r>
              <w:t>Hybrid energy systems integration (solar–hydrogen, PV–storage)</w:t>
            </w:r>
          </w:p>
        </w:tc>
        <w:tc>
          <w:tcPr>
            <w:tcW w:w="1242" w:type="pct"/>
            <w:vAlign w:val="center"/>
          </w:tcPr>
          <w:p w14:paraId="2A19BB3D" w14:textId="77777777" w:rsidR="004B4997" w:rsidRDefault="004B4997" w:rsidP="00CC62EB">
            <w:r>
              <w:t>Ch. 15</w:t>
            </w:r>
          </w:p>
        </w:tc>
      </w:tr>
      <w:tr w:rsidR="004B4997" w:rsidRPr="006F2EF7" w14:paraId="48DBFF4F" w14:textId="77777777" w:rsidTr="00CC62EB">
        <w:trPr>
          <w:trHeight w:val="664"/>
        </w:trPr>
        <w:tc>
          <w:tcPr>
            <w:tcW w:w="465" w:type="pct"/>
            <w:vAlign w:val="center"/>
          </w:tcPr>
          <w:p w14:paraId="4485D2C3" w14:textId="77777777" w:rsidR="004B4997" w:rsidRPr="006F2EF7" w:rsidRDefault="004B4997" w:rsidP="002C0264">
            <w:pPr>
              <w:spacing w:after="0" w:line="480" w:lineRule="auto"/>
              <w:jc w:val="center"/>
              <w:rPr>
                <w:szCs w:val="24"/>
              </w:rPr>
            </w:pPr>
            <w:r>
              <w:rPr>
                <w:szCs w:val="24"/>
              </w:rPr>
              <w:t>16</w:t>
            </w:r>
          </w:p>
        </w:tc>
        <w:tc>
          <w:tcPr>
            <w:tcW w:w="3293" w:type="pct"/>
            <w:vAlign w:val="center"/>
          </w:tcPr>
          <w:p w14:paraId="5CF367C4" w14:textId="77777777" w:rsidR="004B4997" w:rsidRDefault="004B4997" w:rsidP="00CC62EB">
            <w:r>
              <w:t>Future sustainable technologies &amp; policy frameworks</w:t>
            </w:r>
          </w:p>
        </w:tc>
        <w:tc>
          <w:tcPr>
            <w:tcW w:w="1242" w:type="pct"/>
            <w:vAlign w:val="center"/>
          </w:tcPr>
          <w:p w14:paraId="00E0BDBF" w14:textId="77777777" w:rsidR="004B4997" w:rsidRDefault="004B4997" w:rsidP="00CC62EB">
            <w:r>
              <w:t>Ch. 16</w:t>
            </w:r>
          </w:p>
        </w:tc>
      </w:tr>
    </w:tbl>
    <w:p w14:paraId="3ADE5903" w14:textId="77777777" w:rsidR="004B4997" w:rsidRDefault="004B4997" w:rsidP="00A84A9F">
      <w:pPr>
        <w:spacing w:line="480" w:lineRule="auto"/>
      </w:pPr>
    </w:p>
    <w:p w14:paraId="7F0988D3" w14:textId="77777777" w:rsidR="00A84A9F" w:rsidRDefault="00A84A9F" w:rsidP="00290B81"/>
    <w:p w14:paraId="2BD30475"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22EC" w14:textId="77777777" w:rsidR="00894074" w:rsidRDefault="00894074" w:rsidP="00C43620">
      <w:pPr>
        <w:spacing w:after="0" w:line="240" w:lineRule="auto"/>
      </w:pPr>
      <w:r>
        <w:separator/>
      </w:r>
    </w:p>
  </w:endnote>
  <w:endnote w:type="continuationSeparator" w:id="0">
    <w:p w14:paraId="1626C159" w14:textId="77777777" w:rsidR="00894074" w:rsidRDefault="00894074"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90DB"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894074">
      <w:fldChar w:fldCharType="begin"/>
    </w:r>
    <w:r w:rsidR="00894074">
      <w:instrText xml:space="preserve"> PAGE   \* MERGEFORMAT </w:instrText>
    </w:r>
    <w:r w:rsidR="00894074">
      <w:fldChar w:fldCharType="separate"/>
    </w:r>
    <w:r w:rsidR="00FD4028">
      <w:rPr>
        <w:noProof/>
      </w:rPr>
      <w:t>1</w:t>
    </w:r>
    <w:r w:rsidR="00894074">
      <w:rPr>
        <w:noProof/>
      </w:rPr>
      <w:fldChar w:fldCharType="end"/>
    </w:r>
  </w:p>
  <w:p w14:paraId="45800644"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B314" w14:textId="77777777" w:rsidR="00894074" w:rsidRDefault="00894074" w:rsidP="00C43620">
      <w:pPr>
        <w:spacing w:after="0" w:line="240" w:lineRule="auto"/>
      </w:pPr>
      <w:r>
        <w:separator/>
      </w:r>
    </w:p>
  </w:footnote>
  <w:footnote w:type="continuationSeparator" w:id="0">
    <w:p w14:paraId="71166604" w14:textId="77777777" w:rsidR="00894074" w:rsidRDefault="00894074"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3NzY0s7S0NDI2NjNR0lEKTi0uzszPAykwqgUAWSr4JiwAAAA="/>
  </w:docVars>
  <w:rsids>
    <w:rsidRoot w:val="00C43620"/>
    <w:rsid w:val="000460CA"/>
    <w:rsid w:val="00146E2B"/>
    <w:rsid w:val="0022737D"/>
    <w:rsid w:val="0023134B"/>
    <w:rsid w:val="00275249"/>
    <w:rsid w:val="00290B81"/>
    <w:rsid w:val="00330137"/>
    <w:rsid w:val="003E5046"/>
    <w:rsid w:val="003F5EAE"/>
    <w:rsid w:val="003F675D"/>
    <w:rsid w:val="00436665"/>
    <w:rsid w:val="00497D2C"/>
    <w:rsid w:val="004B4997"/>
    <w:rsid w:val="0057151F"/>
    <w:rsid w:val="005D6ECD"/>
    <w:rsid w:val="0062252A"/>
    <w:rsid w:val="006E0907"/>
    <w:rsid w:val="0078114A"/>
    <w:rsid w:val="00782096"/>
    <w:rsid w:val="007A7E82"/>
    <w:rsid w:val="007D271A"/>
    <w:rsid w:val="00807273"/>
    <w:rsid w:val="00823459"/>
    <w:rsid w:val="0083201A"/>
    <w:rsid w:val="00862937"/>
    <w:rsid w:val="00892F73"/>
    <w:rsid w:val="00894074"/>
    <w:rsid w:val="008F3175"/>
    <w:rsid w:val="009C4F70"/>
    <w:rsid w:val="009F067E"/>
    <w:rsid w:val="00A42DE4"/>
    <w:rsid w:val="00A84A9F"/>
    <w:rsid w:val="00AF1563"/>
    <w:rsid w:val="00AF4489"/>
    <w:rsid w:val="00B66B7F"/>
    <w:rsid w:val="00B9231D"/>
    <w:rsid w:val="00BA6BE1"/>
    <w:rsid w:val="00BF30A6"/>
    <w:rsid w:val="00C1511C"/>
    <w:rsid w:val="00C23299"/>
    <w:rsid w:val="00C43620"/>
    <w:rsid w:val="00C61198"/>
    <w:rsid w:val="00CC62EB"/>
    <w:rsid w:val="00CC6314"/>
    <w:rsid w:val="00CD5ED7"/>
    <w:rsid w:val="00D8284D"/>
    <w:rsid w:val="00DA3373"/>
    <w:rsid w:val="00DA76E8"/>
    <w:rsid w:val="00DC01BF"/>
    <w:rsid w:val="00DC5B4C"/>
    <w:rsid w:val="00E62C51"/>
    <w:rsid w:val="00EB16F5"/>
    <w:rsid w:val="00EB7F14"/>
    <w:rsid w:val="00FA4202"/>
    <w:rsid w:val="00FC4377"/>
    <w:rsid w:val="00FD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C1BA"/>
  <w15:docId w15:val="{F3191646-7C26-4236-A738-106E5121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18</cp:revision>
  <cp:lastPrinted>2013-09-06T12:31:00Z</cp:lastPrinted>
  <dcterms:created xsi:type="dcterms:W3CDTF">2025-11-16T13:28:00Z</dcterms:created>
  <dcterms:modified xsi:type="dcterms:W3CDTF">2025-12-03T09:06:00Z</dcterms:modified>
</cp:coreProperties>
</file>