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CB96" w14:textId="77777777" w:rsidR="00C403BF" w:rsidRDefault="00C403BF" w:rsidP="00C403BF">
      <w:pPr>
        <w:pStyle w:val="Header"/>
        <w:jc w:val="center"/>
        <w:rPr>
          <w:b/>
          <w:sz w:val="28"/>
          <w:szCs w:val="28"/>
          <w:u w:val="single"/>
        </w:rPr>
      </w:pPr>
      <w:r>
        <w:rPr>
          <w:b/>
          <w:noProof/>
          <w:sz w:val="28"/>
          <w:szCs w:val="28"/>
          <w:u w:val="single"/>
          <w:lang w:bidi="ar-SA"/>
        </w:rPr>
        <w:drawing>
          <wp:inline distT="0" distB="0" distL="0" distR="0" wp14:anchorId="65C97BD0" wp14:editId="7D9FD631">
            <wp:extent cx="1817505" cy="704850"/>
            <wp:effectExtent l="19050" t="0" r="0" b="0"/>
            <wp:docPr id="1"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2618E780" w14:textId="77777777" w:rsidR="00C403BF" w:rsidRDefault="00C403BF" w:rsidP="00C403BF">
      <w:pPr>
        <w:pStyle w:val="Header"/>
        <w:jc w:val="center"/>
        <w:rPr>
          <w:b/>
          <w:sz w:val="28"/>
          <w:szCs w:val="28"/>
          <w:u w:val="single"/>
        </w:rPr>
      </w:pPr>
    </w:p>
    <w:p w14:paraId="2475E136" w14:textId="77777777" w:rsidR="00C403BF" w:rsidRPr="006F2EF7" w:rsidRDefault="00C403BF" w:rsidP="00C403BF">
      <w:pPr>
        <w:pStyle w:val="Header"/>
        <w:jc w:val="center"/>
        <w:rPr>
          <w:sz w:val="28"/>
          <w:szCs w:val="28"/>
          <w:u w:val="single"/>
        </w:rPr>
      </w:pPr>
      <w:r w:rsidRPr="006F2EF7">
        <w:rPr>
          <w:b/>
          <w:sz w:val="28"/>
          <w:szCs w:val="28"/>
          <w:u w:val="single"/>
        </w:rPr>
        <w:t>University of Management and Technology</w:t>
      </w:r>
    </w:p>
    <w:p w14:paraId="594D9893" w14:textId="77777777" w:rsidR="0078114A" w:rsidRDefault="0078114A" w:rsidP="00A21C08">
      <w:pPr>
        <w:spacing w:line="240" w:lineRule="auto"/>
      </w:pPr>
    </w:p>
    <w:p w14:paraId="10E335F1"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77991FA9" w14:textId="77777777" w:rsidR="00782096" w:rsidRDefault="00342D75" w:rsidP="00C43620">
      <w:r>
        <w:t>Course code: PH</w:t>
      </w:r>
      <w:r w:rsidR="00C43620">
        <w:t>786                Course title: Next-Generation Photovoltaics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1A3F99" w:rsidRPr="006F2EF7" w14:paraId="4A4612A4" w14:textId="77777777" w:rsidTr="00F972C6">
        <w:trPr>
          <w:trHeight w:val="1230"/>
        </w:trPr>
        <w:tc>
          <w:tcPr>
            <w:tcW w:w="1184" w:type="pct"/>
            <w:vAlign w:val="center"/>
          </w:tcPr>
          <w:p w14:paraId="486090AD" w14:textId="77777777" w:rsidR="001A3F99" w:rsidRPr="006F2EF7" w:rsidRDefault="001A3F99" w:rsidP="00F972C6">
            <w:pPr>
              <w:spacing w:after="0" w:line="240" w:lineRule="auto"/>
              <w:rPr>
                <w:szCs w:val="24"/>
              </w:rPr>
            </w:pPr>
            <w:r w:rsidRPr="006F2EF7">
              <w:rPr>
                <w:szCs w:val="24"/>
              </w:rPr>
              <w:t>Program</w:t>
            </w:r>
          </w:p>
        </w:tc>
        <w:tc>
          <w:tcPr>
            <w:tcW w:w="3816" w:type="pct"/>
            <w:vAlign w:val="center"/>
          </w:tcPr>
          <w:p w14:paraId="3B9B2779" w14:textId="624D5BD3" w:rsidR="001A3F99" w:rsidRPr="006F2EF7" w:rsidRDefault="006345A0" w:rsidP="00F972C6">
            <w:pPr>
              <w:spacing w:after="0" w:line="240" w:lineRule="auto"/>
              <w:rPr>
                <w:szCs w:val="24"/>
              </w:rPr>
            </w:pPr>
            <w:r>
              <w:rPr>
                <w:szCs w:val="24"/>
              </w:rPr>
              <w:t>MS/PhD Physics</w:t>
            </w:r>
          </w:p>
        </w:tc>
      </w:tr>
      <w:tr w:rsidR="001A3F99" w:rsidRPr="006F2EF7" w14:paraId="2ACF170B" w14:textId="77777777" w:rsidTr="00F972C6">
        <w:trPr>
          <w:trHeight w:val="1140"/>
        </w:trPr>
        <w:tc>
          <w:tcPr>
            <w:tcW w:w="1184" w:type="pct"/>
            <w:vAlign w:val="center"/>
          </w:tcPr>
          <w:p w14:paraId="7D45F491" w14:textId="77777777" w:rsidR="001A3F99" w:rsidRPr="006F2EF7" w:rsidRDefault="001A3F99" w:rsidP="00F972C6">
            <w:pPr>
              <w:spacing w:after="0" w:line="240" w:lineRule="auto"/>
              <w:rPr>
                <w:szCs w:val="24"/>
              </w:rPr>
            </w:pPr>
            <w:r w:rsidRPr="006F2EF7">
              <w:rPr>
                <w:szCs w:val="24"/>
              </w:rPr>
              <w:t>Credit Hours</w:t>
            </w:r>
          </w:p>
        </w:tc>
        <w:tc>
          <w:tcPr>
            <w:tcW w:w="3816" w:type="pct"/>
            <w:vAlign w:val="center"/>
          </w:tcPr>
          <w:p w14:paraId="7FC45A74" w14:textId="77777777" w:rsidR="001A3F99" w:rsidRPr="006F2EF7" w:rsidRDefault="001A3F99" w:rsidP="00F972C6">
            <w:pPr>
              <w:spacing w:after="0" w:line="240" w:lineRule="auto"/>
              <w:rPr>
                <w:szCs w:val="24"/>
              </w:rPr>
            </w:pPr>
            <w:r w:rsidRPr="006F2EF7">
              <w:rPr>
                <w:szCs w:val="24"/>
              </w:rPr>
              <w:t>03</w:t>
            </w:r>
          </w:p>
        </w:tc>
      </w:tr>
      <w:tr w:rsidR="001A3F99" w:rsidRPr="006F2EF7" w14:paraId="3DA71282" w14:textId="77777777" w:rsidTr="00F972C6">
        <w:trPr>
          <w:trHeight w:val="1140"/>
        </w:trPr>
        <w:tc>
          <w:tcPr>
            <w:tcW w:w="1184" w:type="pct"/>
            <w:vAlign w:val="center"/>
          </w:tcPr>
          <w:p w14:paraId="65B3C10F" w14:textId="77777777" w:rsidR="001A3F99" w:rsidRPr="006F2EF7" w:rsidRDefault="001A3F99" w:rsidP="00F972C6">
            <w:pPr>
              <w:spacing w:after="0" w:line="240" w:lineRule="auto"/>
              <w:rPr>
                <w:szCs w:val="24"/>
              </w:rPr>
            </w:pPr>
            <w:r w:rsidRPr="006F2EF7">
              <w:rPr>
                <w:szCs w:val="24"/>
              </w:rPr>
              <w:t>Duration</w:t>
            </w:r>
          </w:p>
        </w:tc>
        <w:tc>
          <w:tcPr>
            <w:tcW w:w="3816" w:type="pct"/>
            <w:vAlign w:val="center"/>
          </w:tcPr>
          <w:p w14:paraId="3C0241E7" w14:textId="77777777" w:rsidR="001A3F99" w:rsidRPr="006F2EF7" w:rsidRDefault="001A3F99" w:rsidP="00F972C6">
            <w:pPr>
              <w:spacing w:after="0" w:line="240" w:lineRule="auto"/>
              <w:rPr>
                <w:szCs w:val="24"/>
              </w:rPr>
            </w:pPr>
            <w:r w:rsidRPr="006F2EF7">
              <w:rPr>
                <w:szCs w:val="24"/>
              </w:rPr>
              <w:t>16 weeks</w:t>
            </w:r>
          </w:p>
        </w:tc>
      </w:tr>
      <w:tr w:rsidR="001A3F99" w:rsidRPr="006F2EF7" w14:paraId="639CCD4E" w14:textId="77777777" w:rsidTr="00F972C6">
        <w:trPr>
          <w:trHeight w:val="1230"/>
        </w:trPr>
        <w:tc>
          <w:tcPr>
            <w:tcW w:w="1184" w:type="pct"/>
            <w:vAlign w:val="center"/>
          </w:tcPr>
          <w:p w14:paraId="4D7DEC07" w14:textId="77777777" w:rsidR="001A3F99" w:rsidRPr="006F2EF7" w:rsidRDefault="001A3F99" w:rsidP="00F972C6">
            <w:pPr>
              <w:spacing w:after="0" w:line="240" w:lineRule="auto"/>
              <w:rPr>
                <w:szCs w:val="24"/>
              </w:rPr>
            </w:pPr>
            <w:r w:rsidRPr="006F2EF7">
              <w:rPr>
                <w:szCs w:val="24"/>
              </w:rPr>
              <w:t>Prerequisites</w:t>
            </w:r>
          </w:p>
        </w:tc>
        <w:tc>
          <w:tcPr>
            <w:tcW w:w="3816" w:type="pct"/>
            <w:vAlign w:val="center"/>
          </w:tcPr>
          <w:p w14:paraId="72D4AA79" w14:textId="77777777" w:rsidR="001A3F99" w:rsidRPr="006F2EF7" w:rsidRDefault="001A3F99" w:rsidP="00F972C6">
            <w:pPr>
              <w:rPr>
                <w:szCs w:val="24"/>
              </w:rPr>
            </w:pPr>
          </w:p>
        </w:tc>
      </w:tr>
      <w:tr w:rsidR="001A3F99" w:rsidRPr="006F2EF7" w14:paraId="25CF1C09" w14:textId="77777777" w:rsidTr="00F972C6">
        <w:trPr>
          <w:trHeight w:val="1140"/>
        </w:trPr>
        <w:tc>
          <w:tcPr>
            <w:tcW w:w="1184" w:type="pct"/>
          </w:tcPr>
          <w:p w14:paraId="117D122A" w14:textId="77777777" w:rsidR="001A3F99" w:rsidRPr="006F2EF7" w:rsidRDefault="001A3F99" w:rsidP="00F972C6">
            <w:pPr>
              <w:spacing w:after="0" w:line="240" w:lineRule="auto"/>
              <w:rPr>
                <w:szCs w:val="24"/>
              </w:rPr>
            </w:pPr>
          </w:p>
          <w:p w14:paraId="062E8D28" w14:textId="77777777" w:rsidR="001A3F99" w:rsidRPr="006F2EF7" w:rsidRDefault="001A3F99" w:rsidP="00F972C6">
            <w:pPr>
              <w:spacing w:after="0" w:line="240" w:lineRule="auto"/>
              <w:rPr>
                <w:szCs w:val="24"/>
              </w:rPr>
            </w:pPr>
            <w:r w:rsidRPr="006F2EF7">
              <w:rPr>
                <w:szCs w:val="24"/>
              </w:rPr>
              <w:t>Resource Person</w:t>
            </w:r>
          </w:p>
        </w:tc>
        <w:tc>
          <w:tcPr>
            <w:tcW w:w="3816" w:type="pct"/>
          </w:tcPr>
          <w:p w14:paraId="42E9FE57" w14:textId="77777777" w:rsidR="001A3F99" w:rsidRPr="006F2EF7" w:rsidRDefault="001A3F99" w:rsidP="00F972C6">
            <w:pPr>
              <w:spacing w:after="0" w:line="240" w:lineRule="auto"/>
              <w:rPr>
                <w:szCs w:val="24"/>
              </w:rPr>
            </w:pPr>
          </w:p>
        </w:tc>
      </w:tr>
      <w:tr w:rsidR="001A3F99" w:rsidRPr="006F2EF7" w14:paraId="02E4D108" w14:textId="77777777" w:rsidTr="00F972C6">
        <w:trPr>
          <w:trHeight w:val="1140"/>
        </w:trPr>
        <w:tc>
          <w:tcPr>
            <w:tcW w:w="1184" w:type="pct"/>
          </w:tcPr>
          <w:p w14:paraId="1573433D" w14:textId="77777777" w:rsidR="001A3F99" w:rsidRPr="006F2EF7" w:rsidRDefault="001A3F99" w:rsidP="00F972C6">
            <w:pPr>
              <w:spacing w:after="0" w:line="240" w:lineRule="auto"/>
              <w:rPr>
                <w:szCs w:val="24"/>
              </w:rPr>
            </w:pPr>
          </w:p>
          <w:p w14:paraId="01E736F5" w14:textId="77777777" w:rsidR="001A3F99" w:rsidRPr="006F2EF7" w:rsidRDefault="001A3F99" w:rsidP="00F972C6">
            <w:pPr>
              <w:spacing w:after="0" w:line="240" w:lineRule="auto"/>
              <w:rPr>
                <w:szCs w:val="24"/>
              </w:rPr>
            </w:pPr>
            <w:r w:rsidRPr="006F2EF7">
              <w:rPr>
                <w:szCs w:val="24"/>
              </w:rPr>
              <w:t>Counseling Timing</w:t>
            </w:r>
          </w:p>
          <w:p w14:paraId="1E340689" w14:textId="77777777" w:rsidR="001A3F99" w:rsidRPr="006F2EF7" w:rsidRDefault="001A3F99" w:rsidP="00F972C6">
            <w:pPr>
              <w:spacing w:after="0" w:line="240" w:lineRule="auto"/>
              <w:rPr>
                <w:szCs w:val="24"/>
              </w:rPr>
            </w:pPr>
          </w:p>
          <w:p w14:paraId="4CEB6BB8" w14:textId="77777777" w:rsidR="001A3F99" w:rsidRPr="006F2EF7" w:rsidRDefault="001A3F99" w:rsidP="00F972C6">
            <w:pPr>
              <w:spacing w:after="0" w:line="240" w:lineRule="auto"/>
              <w:rPr>
                <w:szCs w:val="24"/>
              </w:rPr>
            </w:pPr>
            <w:r>
              <w:rPr>
                <w:szCs w:val="24"/>
              </w:rPr>
              <w:t xml:space="preserve">(Room# </w:t>
            </w:r>
            <w:r w:rsidRPr="006F2EF7">
              <w:rPr>
                <w:szCs w:val="24"/>
              </w:rPr>
              <w:t>)</w:t>
            </w:r>
          </w:p>
        </w:tc>
        <w:tc>
          <w:tcPr>
            <w:tcW w:w="3816" w:type="pct"/>
          </w:tcPr>
          <w:p w14:paraId="7E905A4A" w14:textId="77777777" w:rsidR="001A3F99" w:rsidRPr="006F2EF7" w:rsidRDefault="001A3F99" w:rsidP="00F972C6">
            <w:pPr>
              <w:spacing w:after="0" w:line="240" w:lineRule="auto"/>
              <w:rPr>
                <w:szCs w:val="24"/>
              </w:rPr>
            </w:pPr>
          </w:p>
        </w:tc>
      </w:tr>
      <w:tr w:rsidR="001A3F99" w:rsidRPr="006F2EF7" w14:paraId="1133CE43" w14:textId="77777777" w:rsidTr="00F972C6">
        <w:trPr>
          <w:trHeight w:val="1140"/>
        </w:trPr>
        <w:tc>
          <w:tcPr>
            <w:tcW w:w="1184" w:type="pct"/>
          </w:tcPr>
          <w:p w14:paraId="1F33D508" w14:textId="77777777" w:rsidR="001A3F99" w:rsidRPr="006F2EF7" w:rsidRDefault="001A3F99" w:rsidP="00F972C6">
            <w:pPr>
              <w:spacing w:after="0" w:line="240" w:lineRule="auto"/>
              <w:rPr>
                <w:szCs w:val="24"/>
              </w:rPr>
            </w:pPr>
          </w:p>
          <w:p w14:paraId="2280656F" w14:textId="77777777" w:rsidR="001A3F99" w:rsidRPr="006F2EF7" w:rsidRDefault="001A3F99" w:rsidP="00F972C6">
            <w:pPr>
              <w:spacing w:after="0" w:line="240" w:lineRule="auto"/>
              <w:rPr>
                <w:szCs w:val="24"/>
              </w:rPr>
            </w:pPr>
          </w:p>
          <w:p w14:paraId="32C00F6B" w14:textId="77777777" w:rsidR="001A3F99" w:rsidRPr="006F2EF7" w:rsidRDefault="001A3F99" w:rsidP="00F972C6">
            <w:pPr>
              <w:spacing w:after="0" w:line="240" w:lineRule="auto"/>
              <w:rPr>
                <w:szCs w:val="24"/>
              </w:rPr>
            </w:pPr>
            <w:r w:rsidRPr="006F2EF7">
              <w:rPr>
                <w:szCs w:val="24"/>
              </w:rPr>
              <w:t>Contact</w:t>
            </w:r>
          </w:p>
        </w:tc>
        <w:tc>
          <w:tcPr>
            <w:tcW w:w="3816" w:type="pct"/>
          </w:tcPr>
          <w:p w14:paraId="0D1C4947" w14:textId="77777777" w:rsidR="001A3F99" w:rsidRPr="006F2EF7" w:rsidRDefault="001A3F99" w:rsidP="00F972C6">
            <w:pPr>
              <w:spacing w:after="0" w:line="240" w:lineRule="auto"/>
              <w:rPr>
                <w:szCs w:val="24"/>
              </w:rPr>
            </w:pPr>
          </w:p>
        </w:tc>
      </w:tr>
    </w:tbl>
    <w:p w14:paraId="0B7C8CED" w14:textId="77777777" w:rsidR="00C43620" w:rsidRDefault="00C43620" w:rsidP="00C43620"/>
    <w:p w14:paraId="4437167F" w14:textId="77777777" w:rsidR="00D94CC7" w:rsidRDefault="00D94CC7" w:rsidP="00C43620">
      <w:pPr>
        <w:rPr>
          <w:b/>
          <w:sz w:val="28"/>
          <w:szCs w:val="28"/>
          <w:u w:val="single"/>
        </w:rPr>
      </w:pPr>
    </w:p>
    <w:p w14:paraId="1066DB09" w14:textId="77777777" w:rsidR="00C43620" w:rsidRDefault="00C43620" w:rsidP="00C43620">
      <w:pPr>
        <w:rPr>
          <w:b/>
          <w:sz w:val="28"/>
          <w:szCs w:val="28"/>
          <w:u w:val="single"/>
        </w:rPr>
      </w:pPr>
      <w:r>
        <w:rPr>
          <w:b/>
          <w:sz w:val="28"/>
          <w:szCs w:val="28"/>
          <w:u w:val="single"/>
        </w:rPr>
        <w:lastRenderedPageBreak/>
        <w:t>Learning Objective:</w:t>
      </w:r>
    </w:p>
    <w:p w14:paraId="54ED9407" w14:textId="77777777" w:rsidR="00C43620" w:rsidRPr="000E1D28" w:rsidRDefault="00C43620" w:rsidP="000E1D28">
      <w:pPr>
        <w:jc w:val="both"/>
        <w:rPr>
          <w:b/>
        </w:rPr>
      </w:pPr>
      <w:r>
        <w:t>This course provides an advanced and comprehensive understanding of next‑generation photovoltaic (PV) technologies. Students will develop expertise in semiconductor physics for solar energy conversion, carrier transport mechanisms, thin‑film devices, perovskite solar cells, organic photovoltaics, tandem architectures, and emerging solar materials. The course aims to equip students with the concepts and analytical skills needed to evaluate, model, and innovate PV systems that go beyond the limits of conventional silicon-based technology</w:t>
      </w:r>
    </w:p>
    <w:p w14:paraId="3954AD61" w14:textId="77777777" w:rsidR="00C43620" w:rsidRPr="004C3CB9" w:rsidRDefault="00C43620" w:rsidP="000E1D28">
      <w:pPr>
        <w:jc w:val="both"/>
        <w:rPr>
          <w:sz w:val="28"/>
          <w:szCs w:val="28"/>
        </w:rPr>
      </w:pPr>
      <w:r w:rsidRPr="00983C9A">
        <w:rPr>
          <w:b/>
          <w:sz w:val="28"/>
          <w:szCs w:val="28"/>
          <w:u w:val="single"/>
        </w:rPr>
        <w:t>Learning Methodology</w:t>
      </w:r>
      <w:r>
        <w:rPr>
          <w:b/>
          <w:sz w:val="28"/>
          <w:szCs w:val="28"/>
          <w:u w:val="single"/>
        </w:rPr>
        <w:t>:</w:t>
      </w:r>
    </w:p>
    <w:p w14:paraId="008C3E1B" w14:textId="77777777" w:rsidR="00290B81" w:rsidRDefault="00C43620" w:rsidP="0036799E">
      <w:pPr>
        <w:jc w:val="both"/>
      </w:pPr>
      <w:r>
        <w:t>The teaching methodology includes interactive lectures, numerical modeling sessions, device‑level simulations, research paper presentations, lab demonstrations (where applicable), and project‑based learning. Students will analyze J–V curves, external quantum efficiency (EQE), recombination pathways, interface engineering, and degradation mechanisms. Hands‑on computational work will enable students to interpret PV parameters and optimize device structures.</w:t>
      </w:r>
    </w:p>
    <w:p w14:paraId="1F373973"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24A3A7A1" w14:textId="77777777" w:rsidR="003B71E6" w:rsidRDefault="00290B81" w:rsidP="003B71E6">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3B71E6" w:rsidRPr="006F2EF7" w14:paraId="06E7D02D" w14:textId="77777777" w:rsidTr="00F972C6">
        <w:tc>
          <w:tcPr>
            <w:tcW w:w="2500" w:type="pct"/>
          </w:tcPr>
          <w:p w14:paraId="356288F8" w14:textId="77777777" w:rsidR="003B71E6" w:rsidRPr="00453A86" w:rsidRDefault="003B71E6" w:rsidP="00F972C6">
            <w:pPr>
              <w:jc w:val="center"/>
              <w:rPr>
                <w:b/>
                <w:szCs w:val="24"/>
              </w:rPr>
            </w:pPr>
            <w:r w:rsidRPr="00453A86">
              <w:rPr>
                <w:b/>
                <w:szCs w:val="24"/>
              </w:rPr>
              <w:t>Marks Evaluation</w:t>
            </w:r>
          </w:p>
        </w:tc>
        <w:tc>
          <w:tcPr>
            <w:tcW w:w="2500" w:type="pct"/>
          </w:tcPr>
          <w:p w14:paraId="202D5A24" w14:textId="77777777" w:rsidR="003B71E6" w:rsidRPr="00453A86" w:rsidRDefault="003B71E6" w:rsidP="00F972C6">
            <w:pPr>
              <w:jc w:val="center"/>
              <w:rPr>
                <w:b/>
                <w:szCs w:val="24"/>
              </w:rPr>
            </w:pPr>
            <w:r w:rsidRPr="00453A86">
              <w:rPr>
                <w:b/>
                <w:szCs w:val="24"/>
              </w:rPr>
              <w:t>Marks in percentage</w:t>
            </w:r>
          </w:p>
        </w:tc>
      </w:tr>
      <w:tr w:rsidR="003B71E6" w:rsidRPr="006F2EF7" w14:paraId="21589F95" w14:textId="77777777" w:rsidTr="00F972C6">
        <w:tc>
          <w:tcPr>
            <w:tcW w:w="2500" w:type="pct"/>
            <w:vAlign w:val="center"/>
          </w:tcPr>
          <w:p w14:paraId="062A1190" w14:textId="77777777" w:rsidR="003B71E6" w:rsidRPr="006F2EF7" w:rsidRDefault="003B71E6" w:rsidP="00F972C6">
            <w:pPr>
              <w:jc w:val="center"/>
              <w:rPr>
                <w:szCs w:val="24"/>
              </w:rPr>
            </w:pPr>
            <w:r w:rsidRPr="006F2EF7">
              <w:rPr>
                <w:szCs w:val="24"/>
              </w:rPr>
              <w:t>Quizzes</w:t>
            </w:r>
          </w:p>
        </w:tc>
        <w:tc>
          <w:tcPr>
            <w:tcW w:w="2500" w:type="pct"/>
            <w:vAlign w:val="center"/>
          </w:tcPr>
          <w:p w14:paraId="16F0722B" w14:textId="77777777" w:rsidR="003B71E6" w:rsidRPr="006F2EF7" w:rsidRDefault="003B71E6" w:rsidP="00F972C6">
            <w:pPr>
              <w:jc w:val="center"/>
              <w:rPr>
                <w:szCs w:val="24"/>
              </w:rPr>
            </w:pPr>
            <w:r w:rsidRPr="006F2EF7">
              <w:rPr>
                <w:szCs w:val="24"/>
              </w:rPr>
              <w:t>10%</w:t>
            </w:r>
          </w:p>
        </w:tc>
      </w:tr>
      <w:tr w:rsidR="003B71E6" w:rsidRPr="006F2EF7" w14:paraId="1FE37BB3" w14:textId="77777777" w:rsidTr="00F972C6">
        <w:tc>
          <w:tcPr>
            <w:tcW w:w="2500" w:type="pct"/>
            <w:vAlign w:val="center"/>
          </w:tcPr>
          <w:p w14:paraId="5FEEE74D" w14:textId="77777777" w:rsidR="003B71E6" w:rsidRPr="006F2EF7" w:rsidRDefault="003B71E6" w:rsidP="00F972C6">
            <w:pPr>
              <w:jc w:val="center"/>
              <w:rPr>
                <w:szCs w:val="24"/>
              </w:rPr>
            </w:pPr>
            <w:r w:rsidRPr="006F2EF7">
              <w:rPr>
                <w:szCs w:val="24"/>
              </w:rPr>
              <w:t>Assignments</w:t>
            </w:r>
          </w:p>
        </w:tc>
        <w:tc>
          <w:tcPr>
            <w:tcW w:w="2500" w:type="pct"/>
            <w:vAlign w:val="center"/>
          </w:tcPr>
          <w:p w14:paraId="6B2C5C72" w14:textId="77777777" w:rsidR="003B71E6" w:rsidRPr="006F2EF7" w:rsidRDefault="003B71E6" w:rsidP="00F972C6">
            <w:pPr>
              <w:jc w:val="center"/>
              <w:rPr>
                <w:szCs w:val="24"/>
              </w:rPr>
            </w:pPr>
            <w:r w:rsidRPr="006F2EF7">
              <w:rPr>
                <w:szCs w:val="24"/>
              </w:rPr>
              <w:t>10%</w:t>
            </w:r>
          </w:p>
        </w:tc>
      </w:tr>
      <w:tr w:rsidR="003B71E6" w:rsidRPr="006F2EF7" w14:paraId="6B8F73D1" w14:textId="77777777" w:rsidTr="00F972C6">
        <w:tc>
          <w:tcPr>
            <w:tcW w:w="2500" w:type="pct"/>
            <w:vAlign w:val="center"/>
          </w:tcPr>
          <w:p w14:paraId="750D4649" w14:textId="77777777" w:rsidR="003B71E6" w:rsidRPr="006F2EF7" w:rsidRDefault="003B71E6" w:rsidP="00F972C6">
            <w:pPr>
              <w:jc w:val="center"/>
              <w:rPr>
                <w:szCs w:val="24"/>
              </w:rPr>
            </w:pPr>
            <w:r w:rsidRPr="006F2EF7">
              <w:rPr>
                <w:szCs w:val="24"/>
              </w:rPr>
              <w:t>Mid Term</w:t>
            </w:r>
          </w:p>
        </w:tc>
        <w:tc>
          <w:tcPr>
            <w:tcW w:w="2500" w:type="pct"/>
            <w:vAlign w:val="center"/>
          </w:tcPr>
          <w:p w14:paraId="194E4A92" w14:textId="77777777" w:rsidR="003B71E6" w:rsidRPr="006F2EF7" w:rsidRDefault="003B71E6" w:rsidP="00F972C6">
            <w:pPr>
              <w:jc w:val="center"/>
              <w:rPr>
                <w:szCs w:val="24"/>
              </w:rPr>
            </w:pPr>
            <w:r w:rsidRPr="006F2EF7">
              <w:rPr>
                <w:szCs w:val="24"/>
              </w:rPr>
              <w:t>20%</w:t>
            </w:r>
          </w:p>
        </w:tc>
      </w:tr>
      <w:tr w:rsidR="003B71E6" w:rsidRPr="006F2EF7" w14:paraId="6CA824B1" w14:textId="77777777" w:rsidTr="00F972C6">
        <w:tc>
          <w:tcPr>
            <w:tcW w:w="2500" w:type="pct"/>
            <w:vAlign w:val="center"/>
          </w:tcPr>
          <w:p w14:paraId="795AFC47" w14:textId="77777777" w:rsidR="003B71E6" w:rsidRPr="006F2EF7" w:rsidRDefault="003B71E6" w:rsidP="00F972C6">
            <w:pPr>
              <w:jc w:val="center"/>
              <w:rPr>
                <w:szCs w:val="24"/>
              </w:rPr>
            </w:pPr>
            <w:r w:rsidRPr="006F2EF7">
              <w:rPr>
                <w:szCs w:val="24"/>
              </w:rPr>
              <w:t>Attendance &amp; Class Participation</w:t>
            </w:r>
          </w:p>
        </w:tc>
        <w:tc>
          <w:tcPr>
            <w:tcW w:w="2500" w:type="pct"/>
            <w:vAlign w:val="center"/>
          </w:tcPr>
          <w:p w14:paraId="328D2A9A" w14:textId="77777777" w:rsidR="003B71E6" w:rsidRPr="006F2EF7" w:rsidRDefault="003B71E6" w:rsidP="00F972C6">
            <w:pPr>
              <w:jc w:val="center"/>
              <w:rPr>
                <w:szCs w:val="24"/>
              </w:rPr>
            </w:pPr>
            <w:r w:rsidRPr="006F2EF7">
              <w:rPr>
                <w:szCs w:val="24"/>
              </w:rPr>
              <w:t>10%</w:t>
            </w:r>
          </w:p>
        </w:tc>
      </w:tr>
      <w:tr w:rsidR="003B71E6" w:rsidRPr="006F2EF7" w14:paraId="415D9442" w14:textId="77777777" w:rsidTr="00F972C6">
        <w:tc>
          <w:tcPr>
            <w:tcW w:w="2500" w:type="pct"/>
            <w:vAlign w:val="center"/>
          </w:tcPr>
          <w:p w14:paraId="099496D6" w14:textId="77777777" w:rsidR="003B71E6" w:rsidRPr="006F2EF7" w:rsidRDefault="003B71E6" w:rsidP="00F972C6">
            <w:pPr>
              <w:jc w:val="center"/>
              <w:rPr>
                <w:szCs w:val="24"/>
              </w:rPr>
            </w:pPr>
            <w:r w:rsidRPr="006F2EF7">
              <w:rPr>
                <w:szCs w:val="24"/>
              </w:rPr>
              <w:t>Term Project</w:t>
            </w:r>
          </w:p>
        </w:tc>
        <w:tc>
          <w:tcPr>
            <w:tcW w:w="2500" w:type="pct"/>
            <w:vAlign w:val="center"/>
          </w:tcPr>
          <w:p w14:paraId="246B3F06" w14:textId="77777777" w:rsidR="003B71E6" w:rsidRPr="006F2EF7" w:rsidRDefault="003B71E6" w:rsidP="00F972C6">
            <w:pPr>
              <w:jc w:val="center"/>
              <w:rPr>
                <w:szCs w:val="24"/>
              </w:rPr>
            </w:pPr>
            <w:r w:rsidRPr="006F2EF7">
              <w:rPr>
                <w:szCs w:val="24"/>
              </w:rPr>
              <w:t>10%</w:t>
            </w:r>
          </w:p>
        </w:tc>
      </w:tr>
      <w:tr w:rsidR="003B71E6" w:rsidRPr="006F2EF7" w14:paraId="53C29AC0" w14:textId="77777777" w:rsidTr="00F972C6">
        <w:tc>
          <w:tcPr>
            <w:tcW w:w="2500" w:type="pct"/>
            <w:vAlign w:val="center"/>
          </w:tcPr>
          <w:p w14:paraId="3E0D81F7" w14:textId="77777777" w:rsidR="003B71E6" w:rsidRPr="006F2EF7" w:rsidRDefault="003B71E6" w:rsidP="00F972C6">
            <w:pPr>
              <w:jc w:val="center"/>
              <w:rPr>
                <w:szCs w:val="24"/>
              </w:rPr>
            </w:pPr>
            <w:r w:rsidRPr="006F2EF7">
              <w:rPr>
                <w:szCs w:val="24"/>
              </w:rPr>
              <w:t>Presentations</w:t>
            </w:r>
          </w:p>
        </w:tc>
        <w:tc>
          <w:tcPr>
            <w:tcW w:w="2500" w:type="pct"/>
            <w:vAlign w:val="center"/>
          </w:tcPr>
          <w:p w14:paraId="273FC057" w14:textId="77777777" w:rsidR="003B71E6" w:rsidRPr="006F2EF7" w:rsidRDefault="003B71E6" w:rsidP="00F972C6">
            <w:pPr>
              <w:jc w:val="center"/>
              <w:rPr>
                <w:szCs w:val="24"/>
              </w:rPr>
            </w:pPr>
            <w:r w:rsidRPr="006F2EF7">
              <w:rPr>
                <w:szCs w:val="24"/>
              </w:rPr>
              <w:t>10%</w:t>
            </w:r>
          </w:p>
        </w:tc>
      </w:tr>
      <w:tr w:rsidR="003B71E6" w:rsidRPr="006F2EF7" w14:paraId="190D2562" w14:textId="77777777" w:rsidTr="00F972C6">
        <w:tc>
          <w:tcPr>
            <w:tcW w:w="2500" w:type="pct"/>
            <w:vAlign w:val="center"/>
          </w:tcPr>
          <w:p w14:paraId="6BB7AD16" w14:textId="77777777" w:rsidR="003B71E6" w:rsidRPr="006F2EF7" w:rsidRDefault="003B71E6" w:rsidP="00F972C6">
            <w:pPr>
              <w:jc w:val="center"/>
              <w:rPr>
                <w:szCs w:val="24"/>
              </w:rPr>
            </w:pPr>
            <w:r w:rsidRPr="006F2EF7">
              <w:rPr>
                <w:szCs w:val="24"/>
              </w:rPr>
              <w:t>Final exam</w:t>
            </w:r>
          </w:p>
        </w:tc>
        <w:tc>
          <w:tcPr>
            <w:tcW w:w="2500" w:type="pct"/>
            <w:vAlign w:val="center"/>
          </w:tcPr>
          <w:p w14:paraId="00781012" w14:textId="77777777" w:rsidR="003B71E6" w:rsidRPr="006F2EF7" w:rsidRDefault="003B71E6" w:rsidP="00F972C6">
            <w:pPr>
              <w:jc w:val="center"/>
              <w:rPr>
                <w:szCs w:val="24"/>
              </w:rPr>
            </w:pPr>
            <w:r w:rsidRPr="006F2EF7">
              <w:rPr>
                <w:szCs w:val="24"/>
              </w:rPr>
              <w:t>30%</w:t>
            </w:r>
          </w:p>
        </w:tc>
      </w:tr>
      <w:tr w:rsidR="003B71E6" w:rsidRPr="006F2EF7" w14:paraId="007A18D1" w14:textId="77777777" w:rsidTr="00F972C6">
        <w:tc>
          <w:tcPr>
            <w:tcW w:w="2500" w:type="pct"/>
            <w:vAlign w:val="center"/>
          </w:tcPr>
          <w:p w14:paraId="285FE5D7" w14:textId="77777777" w:rsidR="003B71E6" w:rsidRPr="006F2EF7" w:rsidRDefault="003B71E6" w:rsidP="00F972C6">
            <w:pPr>
              <w:jc w:val="center"/>
              <w:rPr>
                <w:szCs w:val="24"/>
              </w:rPr>
            </w:pPr>
            <w:r w:rsidRPr="006F2EF7">
              <w:rPr>
                <w:szCs w:val="24"/>
              </w:rPr>
              <w:t>Total</w:t>
            </w:r>
          </w:p>
        </w:tc>
        <w:tc>
          <w:tcPr>
            <w:tcW w:w="2500" w:type="pct"/>
            <w:vAlign w:val="center"/>
          </w:tcPr>
          <w:p w14:paraId="020121CB" w14:textId="77777777" w:rsidR="003B71E6" w:rsidRPr="006F2EF7" w:rsidRDefault="003B71E6" w:rsidP="00F972C6">
            <w:pPr>
              <w:jc w:val="center"/>
              <w:rPr>
                <w:szCs w:val="24"/>
              </w:rPr>
            </w:pPr>
            <w:r w:rsidRPr="006F2EF7">
              <w:rPr>
                <w:szCs w:val="24"/>
              </w:rPr>
              <w:t>100%</w:t>
            </w:r>
          </w:p>
        </w:tc>
      </w:tr>
    </w:tbl>
    <w:p w14:paraId="6716BE43" w14:textId="77777777" w:rsidR="00336F0B" w:rsidRDefault="00336F0B" w:rsidP="003B71E6">
      <w:pPr>
        <w:tabs>
          <w:tab w:val="left" w:pos="930"/>
        </w:tabs>
      </w:pPr>
    </w:p>
    <w:p w14:paraId="6E8E0F99" w14:textId="77777777" w:rsidR="00336F0B" w:rsidRDefault="00336F0B" w:rsidP="003B71E6">
      <w:pPr>
        <w:tabs>
          <w:tab w:val="left" w:pos="930"/>
        </w:tabs>
      </w:pPr>
    </w:p>
    <w:p w14:paraId="5AF94E47" w14:textId="77777777" w:rsidR="00336F0B" w:rsidRDefault="00336F0B" w:rsidP="003B71E6">
      <w:pPr>
        <w:tabs>
          <w:tab w:val="left" w:pos="930"/>
        </w:tabs>
      </w:pPr>
    </w:p>
    <w:p w14:paraId="293CD0A3" w14:textId="77777777" w:rsidR="00290B81" w:rsidRDefault="003B71E6" w:rsidP="003B71E6">
      <w:pPr>
        <w:tabs>
          <w:tab w:val="left" w:pos="930"/>
        </w:tabs>
      </w:pPr>
      <w:r>
        <w:t xml:space="preserve"> </w:t>
      </w:r>
    </w:p>
    <w:p w14:paraId="1D1CC4B3" w14:textId="77777777" w:rsidR="00290B81" w:rsidRPr="00A16EE8" w:rsidRDefault="00290B81" w:rsidP="00290B81">
      <w:pPr>
        <w:tabs>
          <w:tab w:val="left" w:pos="930"/>
        </w:tabs>
        <w:rPr>
          <w:b/>
          <w:sz w:val="28"/>
          <w:szCs w:val="28"/>
          <w:u w:val="single"/>
        </w:rPr>
      </w:pPr>
      <w:r w:rsidRPr="00A16EE8">
        <w:rPr>
          <w:b/>
          <w:sz w:val="28"/>
          <w:szCs w:val="28"/>
          <w:u w:val="single"/>
        </w:rPr>
        <w:lastRenderedPageBreak/>
        <w:t>Recommended Text Books</w:t>
      </w:r>
      <w:r>
        <w:rPr>
          <w:b/>
          <w:sz w:val="28"/>
          <w:szCs w:val="28"/>
          <w:u w:val="single"/>
        </w:rPr>
        <w:t>:</w:t>
      </w:r>
    </w:p>
    <w:p w14:paraId="73B2C571" w14:textId="77777777" w:rsidR="00290B81" w:rsidRDefault="00290B81" w:rsidP="00290B81">
      <w:r>
        <w:t>1. Jenny Nelson, The Physics of Solar Cells, Imperial College Press.</w:t>
      </w:r>
      <w:r>
        <w:br/>
        <w:t>2. Antonio Luque &amp; Steven Hegedus, Handbook of Photovoltaic Science and Engineering, Wiley.</w:t>
      </w:r>
    </w:p>
    <w:p w14:paraId="2C4D65A8"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30419D32" w14:textId="77777777" w:rsidR="000E1D28" w:rsidRDefault="00290B81" w:rsidP="00290B81">
      <w:r>
        <w:t>1. Martin A. Green, Third Generation Photovoltaics, Springer.</w:t>
      </w:r>
      <w:r>
        <w:br/>
        <w:t>2. Michael Grätzel, Selected papers on dye‑sensitized and perovskite PV.</w:t>
      </w:r>
      <w:r>
        <w:br/>
        <w:t>3. De Wolf, Snaith &amp; collaborators, Perovskite Solar Cell Physics (journal literature).</w:t>
      </w:r>
    </w:p>
    <w:p w14:paraId="603865B9" w14:textId="77777777"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14:paraId="6EA34CE3" w14:textId="77777777" w:rsidR="00A84A9F" w:rsidRDefault="00A84A9F" w:rsidP="00A84A9F">
      <w:pPr>
        <w:spacing w:line="480" w:lineRule="auto"/>
      </w:pPr>
      <w:r>
        <w:t>Course code: PH-786                Course title: Next-Generation Photovoltaics</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AC327E" w:rsidRPr="006F2EF7" w14:paraId="1B209C1E" w14:textId="77777777" w:rsidTr="00F972C6">
        <w:trPr>
          <w:trHeight w:val="1451"/>
        </w:trPr>
        <w:tc>
          <w:tcPr>
            <w:tcW w:w="465" w:type="pct"/>
            <w:vAlign w:val="center"/>
          </w:tcPr>
          <w:p w14:paraId="09C982C6" w14:textId="77777777" w:rsidR="00AC327E" w:rsidRPr="006F2EF7" w:rsidRDefault="00AC327E" w:rsidP="00F972C6">
            <w:pPr>
              <w:spacing w:after="0" w:line="480" w:lineRule="auto"/>
              <w:rPr>
                <w:b/>
                <w:szCs w:val="24"/>
              </w:rPr>
            </w:pPr>
          </w:p>
          <w:p w14:paraId="12AAA566" w14:textId="77777777" w:rsidR="00AC327E" w:rsidRPr="006F2EF7" w:rsidRDefault="00AC327E" w:rsidP="00F972C6">
            <w:pPr>
              <w:spacing w:after="0" w:line="480" w:lineRule="auto"/>
              <w:rPr>
                <w:b/>
                <w:szCs w:val="24"/>
              </w:rPr>
            </w:pPr>
            <w:r>
              <w:rPr>
                <w:b/>
                <w:szCs w:val="24"/>
              </w:rPr>
              <w:t xml:space="preserve"> </w:t>
            </w:r>
            <w:r w:rsidRPr="006F2EF7">
              <w:rPr>
                <w:b/>
                <w:szCs w:val="24"/>
              </w:rPr>
              <w:t>Week</w:t>
            </w:r>
          </w:p>
        </w:tc>
        <w:tc>
          <w:tcPr>
            <w:tcW w:w="3293" w:type="pct"/>
            <w:vAlign w:val="center"/>
          </w:tcPr>
          <w:p w14:paraId="3797E7C3" w14:textId="77777777" w:rsidR="00AC327E" w:rsidRPr="006F2EF7" w:rsidRDefault="00AC327E" w:rsidP="00F972C6">
            <w:pPr>
              <w:spacing w:after="0" w:line="480" w:lineRule="auto"/>
              <w:rPr>
                <w:b/>
                <w:szCs w:val="24"/>
              </w:rPr>
            </w:pPr>
          </w:p>
          <w:p w14:paraId="59A2F609" w14:textId="77777777" w:rsidR="00AC327E" w:rsidRPr="006F2EF7" w:rsidRDefault="00AC327E" w:rsidP="00F972C6">
            <w:pPr>
              <w:spacing w:after="0" w:line="240" w:lineRule="auto"/>
              <w:rPr>
                <w:b/>
                <w:szCs w:val="24"/>
              </w:rPr>
            </w:pPr>
            <w:r w:rsidRPr="006F2EF7">
              <w:rPr>
                <w:b/>
                <w:szCs w:val="24"/>
              </w:rPr>
              <w:t xml:space="preserve">                                    Course Contents                                                                 </w:t>
            </w:r>
          </w:p>
          <w:p w14:paraId="5BC59B13" w14:textId="77777777" w:rsidR="00AC327E" w:rsidRPr="006F2EF7" w:rsidRDefault="00AC327E" w:rsidP="00F972C6">
            <w:pPr>
              <w:tabs>
                <w:tab w:val="left" w:pos="1065"/>
              </w:tabs>
              <w:spacing w:after="0" w:line="240" w:lineRule="auto"/>
              <w:rPr>
                <w:b/>
                <w:szCs w:val="24"/>
              </w:rPr>
            </w:pPr>
            <w:r w:rsidRPr="006F2EF7">
              <w:rPr>
                <w:b/>
                <w:szCs w:val="24"/>
              </w:rPr>
              <w:tab/>
            </w:r>
          </w:p>
        </w:tc>
        <w:tc>
          <w:tcPr>
            <w:tcW w:w="1242" w:type="pct"/>
            <w:vAlign w:val="center"/>
          </w:tcPr>
          <w:p w14:paraId="46DAFFA5" w14:textId="77777777" w:rsidR="00AC327E" w:rsidRPr="006F2EF7" w:rsidRDefault="00AC327E" w:rsidP="00F972C6">
            <w:pPr>
              <w:spacing w:after="0" w:line="480" w:lineRule="auto"/>
              <w:rPr>
                <w:b/>
                <w:szCs w:val="24"/>
              </w:rPr>
            </w:pPr>
          </w:p>
          <w:p w14:paraId="5A8E2B51" w14:textId="77777777" w:rsidR="00AC327E" w:rsidRPr="006F2EF7" w:rsidRDefault="00AC327E" w:rsidP="00F972C6">
            <w:pPr>
              <w:spacing w:after="0" w:line="480" w:lineRule="auto"/>
              <w:rPr>
                <w:b/>
                <w:szCs w:val="24"/>
              </w:rPr>
            </w:pPr>
            <w:r w:rsidRPr="006F2EF7">
              <w:rPr>
                <w:b/>
                <w:szCs w:val="24"/>
              </w:rPr>
              <w:t>Reference Chapter(s)</w:t>
            </w:r>
          </w:p>
        </w:tc>
      </w:tr>
      <w:tr w:rsidR="00AC327E" w:rsidRPr="006F2EF7" w14:paraId="62118F79" w14:textId="77777777" w:rsidTr="00AC327E">
        <w:trPr>
          <w:trHeight w:val="884"/>
        </w:trPr>
        <w:tc>
          <w:tcPr>
            <w:tcW w:w="465" w:type="pct"/>
            <w:vAlign w:val="center"/>
          </w:tcPr>
          <w:p w14:paraId="4D11EEA2" w14:textId="77777777" w:rsidR="00AC327E" w:rsidRPr="006F2EF7" w:rsidRDefault="00AC327E" w:rsidP="00F972C6">
            <w:pPr>
              <w:spacing w:after="0" w:line="240" w:lineRule="auto"/>
              <w:jc w:val="center"/>
              <w:rPr>
                <w:szCs w:val="24"/>
              </w:rPr>
            </w:pPr>
            <w:r w:rsidRPr="006F2EF7">
              <w:rPr>
                <w:szCs w:val="24"/>
              </w:rPr>
              <w:t>1</w:t>
            </w:r>
          </w:p>
        </w:tc>
        <w:tc>
          <w:tcPr>
            <w:tcW w:w="3293" w:type="pct"/>
            <w:vAlign w:val="center"/>
          </w:tcPr>
          <w:p w14:paraId="43FC9E7C" w14:textId="77777777" w:rsidR="00AC327E" w:rsidRDefault="00AC327E" w:rsidP="00AC327E">
            <w:r>
              <w:t>Solar energy overview; PV efficiency limits; Shockley–Queisser analysis</w:t>
            </w:r>
          </w:p>
        </w:tc>
        <w:tc>
          <w:tcPr>
            <w:tcW w:w="1242" w:type="pct"/>
            <w:vAlign w:val="center"/>
          </w:tcPr>
          <w:p w14:paraId="4D58C886" w14:textId="77777777" w:rsidR="00AC327E" w:rsidRDefault="00AC327E" w:rsidP="00AC327E">
            <w:r>
              <w:t>Ch. 1</w:t>
            </w:r>
          </w:p>
        </w:tc>
      </w:tr>
      <w:tr w:rsidR="00AC327E" w:rsidRPr="006F2EF7" w14:paraId="60509F98" w14:textId="77777777" w:rsidTr="00AC327E">
        <w:trPr>
          <w:trHeight w:val="710"/>
        </w:trPr>
        <w:tc>
          <w:tcPr>
            <w:tcW w:w="465" w:type="pct"/>
            <w:vAlign w:val="center"/>
          </w:tcPr>
          <w:p w14:paraId="56BA0A25" w14:textId="77777777" w:rsidR="00AC327E" w:rsidRPr="006F2EF7" w:rsidRDefault="00AC327E" w:rsidP="00F972C6">
            <w:pPr>
              <w:spacing w:after="0" w:line="480" w:lineRule="auto"/>
              <w:jc w:val="center"/>
              <w:rPr>
                <w:szCs w:val="24"/>
              </w:rPr>
            </w:pPr>
            <w:r w:rsidRPr="006F2EF7">
              <w:rPr>
                <w:szCs w:val="24"/>
              </w:rPr>
              <w:t>2</w:t>
            </w:r>
          </w:p>
        </w:tc>
        <w:tc>
          <w:tcPr>
            <w:tcW w:w="3293" w:type="pct"/>
            <w:vAlign w:val="center"/>
          </w:tcPr>
          <w:p w14:paraId="3A240A94" w14:textId="77777777" w:rsidR="00AC327E" w:rsidRDefault="00AC327E" w:rsidP="00AC327E">
            <w:r>
              <w:t>Semiconductor absorption, excitons, and carrier dynamics</w:t>
            </w:r>
          </w:p>
        </w:tc>
        <w:tc>
          <w:tcPr>
            <w:tcW w:w="1242" w:type="pct"/>
            <w:vAlign w:val="center"/>
          </w:tcPr>
          <w:p w14:paraId="13B6A124" w14:textId="77777777" w:rsidR="00AC327E" w:rsidRDefault="00AC327E" w:rsidP="00AC327E">
            <w:r>
              <w:t>Ch. 2</w:t>
            </w:r>
          </w:p>
        </w:tc>
      </w:tr>
      <w:tr w:rsidR="00AC327E" w:rsidRPr="006F2EF7" w14:paraId="6F3B4512" w14:textId="77777777" w:rsidTr="00AC327E">
        <w:trPr>
          <w:trHeight w:val="780"/>
        </w:trPr>
        <w:tc>
          <w:tcPr>
            <w:tcW w:w="465" w:type="pct"/>
            <w:vAlign w:val="center"/>
          </w:tcPr>
          <w:p w14:paraId="100768EE" w14:textId="77777777" w:rsidR="00AC327E" w:rsidRPr="006F2EF7" w:rsidRDefault="00AC327E" w:rsidP="00F972C6">
            <w:pPr>
              <w:spacing w:after="0" w:line="480" w:lineRule="auto"/>
              <w:jc w:val="center"/>
              <w:rPr>
                <w:szCs w:val="24"/>
              </w:rPr>
            </w:pPr>
            <w:r w:rsidRPr="006F2EF7">
              <w:rPr>
                <w:szCs w:val="24"/>
              </w:rPr>
              <w:t>3</w:t>
            </w:r>
          </w:p>
        </w:tc>
        <w:tc>
          <w:tcPr>
            <w:tcW w:w="3293" w:type="pct"/>
            <w:vAlign w:val="center"/>
          </w:tcPr>
          <w:p w14:paraId="07513CB8" w14:textId="77777777" w:rsidR="00AC327E" w:rsidRDefault="00AC327E" w:rsidP="00AC327E">
            <w:r>
              <w:t>pn junctions, heterojunctions, and charge separation in PV devices</w:t>
            </w:r>
          </w:p>
        </w:tc>
        <w:tc>
          <w:tcPr>
            <w:tcW w:w="1242" w:type="pct"/>
            <w:vAlign w:val="center"/>
          </w:tcPr>
          <w:p w14:paraId="5293128B" w14:textId="77777777" w:rsidR="00AC327E" w:rsidRDefault="00AC327E" w:rsidP="00AC327E">
            <w:r>
              <w:t>Ch. 3</w:t>
            </w:r>
          </w:p>
        </w:tc>
      </w:tr>
      <w:tr w:rsidR="00AC327E" w:rsidRPr="006F2EF7" w14:paraId="6FE6EBA3" w14:textId="77777777" w:rsidTr="00AC327E">
        <w:trPr>
          <w:trHeight w:val="678"/>
        </w:trPr>
        <w:tc>
          <w:tcPr>
            <w:tcW w:w="465" w:type="pct"/>
            <w:vAlign w:val="center"/>
          </w:tcPr>
          <w:p w14:paraId="4FD5B6EE" w14:textId="77777777" w:rsidR="00AC327E" w:rsidRPr="006F2EF7" w:rsidRDefault="00AC327E" w:rsidP="00F972C6">
            <w:pPr>
              <w:spacing w:after="0" w:line="480" w:lineRule="auto"/>
              <w:jc w:val="center"/>
              <w:rPr>
                <w:szCs w:val="24"/>
              </w:rPr>
            </w:pPr>
            <w:r w:rsidRPr="006F2EF7">
              <w:rPr>
                <w:szCs w:val="24"/>
              </w:rPr>
              <w:t>4</w:t>
            </w:r>
          </w:p>
        </w:tc>
        <w:tc>
          <w:tcPr>
            <w:tcW w:w="3293" w:type="pct"/>
            <w:vAlign w:val="center"/>
          </w:tcPr>
          <w:p w14:paraId="54D797CF" w14:textId="77777777" w:rsidR="00AC327E" w:rsidRDefault="00AC327E" w:rsidP="00AC327E">
            <w:r>
              <w:t>Thin‑film PV: CdTe, CIGS, amorphous Si technologies</w:t>
            </w:r>
          </w:p>
        </w:tc>
        <w:tc>
          <w:tcPr>
            <w:tcW w:w="1242" w:type="pct"/>
            <w:vAlign w:val="center"/>
          </w:tcPr>
          <w:p w14:paraId="6DE7C7BF" w14:textId="77777777" w:rsidR="00AC327E" w:rsidRDefault="00AC327E" w:rsidP="00AC327E">
            <w:r>
              <w:t>Ch. 4</w:t>
            </w:r>
          </w:p>
        </w:tc>
      </w:tr>
      <w:tr w:rsidR="00AC327E" w:rsidRPr="006F2EF7" w14:paraId="78FB163B" w14:textId="77777777" w:rsidTr="00AC327E">
        <w:trPr>
          <w:trHeight w:val="676"/>
        </w:trPr>
        <w:tc>
          <w:tcPr>
            <w:tcW w:w="465" w:type="pct"/>
            <w:vAlign w:val="center"/>
          </w:tcPr>
          <w:p w14:paraId="08EAB2CC" w14:textId="77777777" w:rsidR="00AC327E" w:rsidRPr="006F2EF7" w:rsidRDefault="00AC327E" w:rsidP="00F972C6">
            <w:pPr>
              <w:spacing w:after="0" w:line="480" w:lineRule="auto"/>
              <w:jc w:val="center"/>
              <w:rPr>
                <w:szCs w:val="24"/>
              </w:rPr>
            </w:pPr>
            <w:r w:rsidRPr="006F2EF7">
              <w:rPr>
                <w:szCs w:val="24"/>
              </w:rPr>
              <w:t>5</w:t>
            </w:r>
          </w:p>
        </w:tc>
        <w:tc>
          <w:tcPr>
            <w:tcW w:w="3293" w:type="pct"/>
            <w:vAlign w:val="center"/>
          </w:tcPr>
          <w:p w14:paraId="2ED9E2D9" w14:textId="77777777" w:rsidR="00AC327E" w:rsidRDefault="00AC327E" w:rsidP="00AC327E">
            <w:r>
              <w:t>Perovskite solar cells: structure, fabrication, recombination physics</w:t>
            </w:r>
          </w:p>
        </w:tc>
        <w:tc>
          <w:tcPr>
            <w:tcW w:w="1242" w:type="pct"/>
            <w:vAlign w:val="center"/>
          </w:tcPr>
          <w:p w14:paraId="77E07525" w14:textId="77777777" w:rsidR="00AC327E" w:rsidRDefault="00AC327E" w:rsidP="00AC327E">
            <w:r>
              <w:t>Ch. 5</w:t>
            </w:r>
          </w:p>
        </w:tc>
      </w:tr>
      <w:tr w:rsidR="00AC327E" w:rsidRPr="006F2EF7" w14:paraId="087E6DE2" w14:textId="77777777" w:rsidTr="00AC327E">
        <w:trPr>
          <w:trHeight w:val="672"/>
        </w:trPr>
        <w:tc>
          <w:tcPr>
            <w:tcW w:w="465" w:type="pct"/>
            <w:vAlign w:val="center"/>
          </w:tcPr>
          <w:p w14:paraId="5390D722" w14:textId="77777777" w:rsidR="00AC327E" w:rsidRPr="006F2EF7" w:rsidRDefault="00AC327E" w:rsidP="00F972C6">
            <w:pPr>
              <w:spacing w:after="0" w:line="480" w:lineRule="auto"/>
              <w:jc w:val="center"/>
              <w:rPr>
                <w:szCs w:val="24"/>
              </w:rPr>
            </w:pPr>
            <w:r w:rsidRPr="006F2EF7">
              <w:rPr>
                <w:szCs w:val="24"/>
              </w:rPr>
              <w:t>6</w:t>
            </w:r>
          </w:p>
        </w:tc>
        <w:tc>
          <w:tcPr>
            <w:tcW w:w="3293" w:type="pct"/>
            <w:vAlign w:val="center"/>
          </w:tcPr>
          <w:p w14:paraId="769A1D5F" w14:textId="77777777" w:rsidR="00AC327E" w:rsidRDefault="00AC327E" w:rsidP="00AC327E">
            <w:r>
              <w:t>Stability, hysteresis and environmental degradation in perovskites</w:t>
            </w:r>
          </w:p>
        </w:tc>
        <w:tc>
          <w:tcPr>
            <w:tcW w:w="1242" w:type="pct"/>
            <w:vAlign w:val="center"/>
          </w:tcPr>
          <w:p w14:paraId="1165C68B" w14:textId="77777777" w:rsidR="00AC327E" w:rsidRDefault="00AC327E" w:rsidP="00AC327E">
            <w:r>
              <w:t>Ch. 6</w:t>
            </w:r>
          </w:p>
        </w:tc>
      </w:tr>
      <w:tr w:rsidR="00AC327E" w:rsidRPr="006F2EF7" w14:paraId="38D1D201" w14:textId="77777777" w:rsidTr="00AC327E">
        <w:trPr>
          <w:trHeight w:val="630"/>
        </w:trPr>
        <w:tc>
          <w:tcPr>
            <w:tcW w:w="465" w:type="pct"/>
            <w:vAlign w:val="center"/>
          </w:tcPr>
          <w:p w14:paraId="754A3118" w14:textId="77777777" w:rsidR="00AC327E" w:rsidRPr="006F2EF7" w:rsidRDefault="00AC327E" w:rsidP="00F972C6">
            <w:pPr>
              <w:spacing w:after="0" w:line="480" w:lineRule="auto"/>
              <w:jc w:val="center"/>
              <w:rPr>
                <w:szCs w:val="24"/>
              </w:rPr>
            </w:pPr>
            <w:r w:rsidRPr="006F2EF7">
              <w:rPr>
                <w:szCs w:val="24"/>
              </w:rPr>
              <w:t>7</w:t>
            </w:r>
          </w:p>
        </w:tc>
        <w:tc>
          <w:tcPr>
            <w:tcW w:w="3293" w:type="pct"/>
            <w:vAlign w:val="center"/>
          </w:tcPr>
          <w:p w14:paraId="3A4A5630" w14:textId="77777777" w:rsidR="00AC327E" w:rsidRDefault="00AC327E" w:rsidP="00AC327E">
            <w:r>
              <w:t>Organic photovoltaics: donor–acceptor design, exciton diffusion</w:t>
            </w:r>
          </w:p>
        </w:tc>
        <w:tc>
          <w:tcPr>
            <w:tcW w:w="1242" w:type="pct"/>
            <w:vAlign w:val="center"/>
          </w:tcPr>
          <w:p w14:paraId="50D93BA4" w14:textId="77777777" w:rsidR="00AC327E" w:rsidRDefault="00AC327E" w:rsidP="00AC327E">
            <w:r>
              <w:t>Ch. 7</w:t>
            </w:r>
          </w:p>
        </w:tc>
      </w:tr>
      <w:tr w:rsidR="00AC327E" w:rsidRPr="006F2EF7" w14:paraId="24E35EC4" w14:textId="77777777" w:rsidTr="00AC327E">
        <w:trPr>
          <w:trHeight w:val="682"/>
        </w:trPr>
        <w:tc>
          <w:tcPr>
            <w:tcW w:w="465" w:type="pct"/>
            <w:vAlign w:val="center"/>
          </w:tcPr>
          <w:p w14:paraId="64723884" w14:textId="77777777" w:rsidR="00AC327E" w:rsidRPr="006F2EF7" w:rsidRDefault="00AC327E" w:rsidP="00F972C6">
            <w:pPr>
              <w:spacing w:after="0" w:line="480" w:lineRule="auto"/>
              <w:jc w:val="center"/>
              <w:rPr>
                <w:szCs w:val="24"/>
              </w:rPr>
            </w:pPr>
            <w:r w:rsidRPr="006F2EF7">
              <w:rPr>
                <w:szCs w:val="24"/>
              </w:rPr>
              <w:t>8</w:t>
            </w:r>
          </w:p>
        </w:tc>
        <w:tc>
          <w:tcPr>
            <w:tcW w:w="3293" w:type="pct"/>
            <w:vAlign w:val="center"/>
          </w:tcPr>
          <w:p w14:paraId="0CEF1D16" w14:textId="77777777" w:rsidR="00AC327E" w:rsidRDefault="00AC327E" w:rsidP="00AC327E">
            <w:r>
              <w:t>Dye‑sensitized solar cells: electron injection and regeneration mechanisms</w:t>
            </w:r>
          </w:p>
        </w:tc>
        <w:tc>
          <w:tcPr>
            <w:tcW w:w="1242" w:type="pct"/>
            <w:vAlign w:val="center"/>
          </w:tcPr>
          <w:p w14:paraId="4C3B9581" w14:textId="77777777" w:rsidR="00AC327E" w:rsidRDefault="00AC327E" w:rsidP="00AC327E">
            <w:r>
              <w:t>Ch. 8</w:t>
            </w:r>
          </w:p>
        </w:tc>
      </w:tr>
      <w:tr w:rsidR="00AC327E" w:rsidRPr="006F2EF7" w14:paraId="17C2E5D2" w14:textId="77777777" w:rsidTr="00AC327E">
        <w:trPr>
          <w:trHeight w:val="664"/>
        </w:trPr>
        <w:tc>
          <w:tcPr>
            <w:tcW w:w="465" w:type="pct"/>
            <w:vAlign w:val="center"/>
          </w:tcPr>
          <w:p w14:paraId="41B74411" w14:textId="77777777" w:rsidR="00AC327E" w:rsidRPr="006F2EF7" w:rsidRDefault="00AC327E" w:rsidP="00F972C6">
            <w:pPr>
              <w:spacing w:after="0" w:line="480" w:lineRule="auto"/>
              <w:jc w:val="center"/>
              <w:rPr>
                <w:szCs w:val="24"/>
              </w:rPr>
            </w:pPr>
            <w:r w:rsidRPr="006F2EF7">
              <w:rPr>
                <w:szCs w:val="24"/>
              </w:rPr>
              <w:lastRenderedPageBreak/>
              <w:t>9</w:t>
            </w:r>
          </w:p>
        </w:tc>
        <w:tc>
          <w:tcPr>
            <w:tcW w:w="3293" w:type="pct"/>
            <w:vAlign w:val="center"/>
          </w:tcPr>
          <w:p w14:paraId="2EBB293A" w14:textId="77777777" w:rsidR="00AC327E" w:rsidRDefault="00AC327E" w:rsidP="00AC327E">
            <w:r>
              <w:t>Tandem and multi‑junction solar cells; efficiency enhancement strategies</w:t>
            </w:r>
          </w:p>
        </w:tc>
        <w:tc>
          <w:tcPr>
            <w:tcW w:w="1242" w:type="pct"/>
            <w:vAlign w:val="center"/>
          </w:tcPr>
          <w:p w14:paraId="5D2962DF" w14:textId="77777777" w:rsidR="00AC327E" w:rsidRDefault="00AC327E" w:rsidP="00AC327E">
            <w:r>
              <w:t>Ch. 9</w:t>
            </w:r>
          </w:p>
        </w:tc>
      </w:tr>
      <w:tr w:rsidR="00AC327E" w:rsidRPr="006F2EF7" w14:paraId="0EC43212" w14:textId="77777777" w:rsidTr="00AC327E">
        <w:trPr>
          <w:trHeight w:val="664"/>
        </w:trPr>
        <w:tc>
          <w:tcPr>
            <w:tcW w:w="465" w:type="pct"/>
            <w:vAlign w:val="center"/>
          </w:tcPr>
          <w:p w14:paraId="2AF776D7" w14:textId="77777777" w:rsidR="00AC327E" w:rsidRPr="006F2EF7" w:rsidRDefault="00AC327E" w:rsidP="00F972C6">
            <w:pPr>
              <w:spacing w:after="0" w:line="480" w:lineRule="auto"/>
              <w:jc w:val="center"/>
              <w:rPr>
                <w:szCs w:val="24"/>
              </w:rPr>
            </w:pPr>
            <w:r>
              <w:rPr>
                <w:szCs w:val="24"/>
              </w:rPr>
              <w:t>10</w:t>
            </w:r>
          </w:p>
        </w:tc>
        <w:tc>
          <w:tcPr>
            <w:tcW w:w="3293" w:type="pct"/>
            <w:vAlign w:val="center"/>
          </w:tcPr>
          <w:p w14:paraId="7296EFDE" w14:textId="77777777" w:rsidR="00AC327E" w:rsidRDefault="00AC327E" w:rsidP="00AC327E">
            <w:r>
              <w:t>Light trapping, textured interfaces, plasmonic enhancement</w:t>
            </w:r>
          </w:p>
        </w:tc>
        <w:tc>
          <w:tcPr>
            <w:tcW w:w="1242" w:type="pct"/>
            <w:vAlign w:val="center"/>
          </w:tcPr>
          <w:p w14:paraId="237D08B8" w14:textId="77777777" w:rsidR="00AC327E" w:rsidRDefault="00AC327E" w:rsidP="00AC327E">
            <w:r>
              <w:t>Ch. 10</w:t>
            </w:r>
          </w:p>
        </w:tc>
      </w:tr>
      <w:tr w:rsidR="00AC327E" w:rsidRPr="006F2EF7" w14:paraId="0BCB2E3F" w14:textId="77777777" w:rsidTr="00AC327E">
        <w:trPr>
          <w:trHeight w:val="664"/>
        </w:trPr>
        <w:tc>
          <w:tcPr>
            <w:tcW w:w="465" w:type="pct"/>
            <w:vAlign w:val="center"/>
          </w:tcPr>
          <w:p w14:paraId="17C18AFF" w14:textId="77777777" w:rsidR="00AC327E" w:rsidRPr="006F2EF7" w:rsidRDefault="00AC327E" w:rsidP="00F972C6">
            <w:pPr>
              <w:spacing w:after="0" w:line="480" w:lineRule="auto"/>
              <w:jc w:val="center"/>
              <w:rPr>
                <w:szCs w:val="24"/>
              </w:rPr>
            </w:pPr>
            <w:r>
              <w:rPr>
                <w:szCs w:val="24"/>
              </w:rPr>
              <w:t>11</w:t>
            </w:r>
          </w:p>
        </w:tc>
        <w:tc>
          <w:tcPr>
            <w:tcW w:w="3293" w:type="pct"/>
            <w:vAlign w:val="center"/>
          </w:tcPr>
          <w:p w14:paraId="76FE23C9" w14:textId="77777777" w:rsidR="00AC327E" w:rsidRDefault="00AC327E" w:rsidP="00AC327E">
            <w:r>
              <w:t>Transport layers and interface engineering in perovskite and OPV</w:t>
            </w:r>
          </w:p>
        </w:tc>
        <w:tc>
          <w:tcPr>
            <w:tcW w:w="1242" w:type="pct"/>
            <w:vAlign w:val="center"/>
          </w:tcPr>
          <w:p w14:paraId="0EAFDD58" w14:textId="77777777" w:rsidR="00AC327E" w:rsidRDefault="00AC327E" w:rsidP="00AC327E">
            <w:r>
              <w:t>Ch. 11</w:t>
            </w:r>
          </w:p>
        </w:tc>
      </w:tr>
      <w:tr w:rsidR="00AC327E" w:rsidRPr="006F2EF7" w14:paraId="1669A6A0" w14:textId="77777777" w:rsidTr="00AC327E">
        <w:trPr>
          <w:trHeight w:val="664"/>
        </w:trPr>
        <w:tc>
          <w:tcPr>
            <w:tcW w:w="465" w:type="pct"/>
            <w:vAlign w:val="center"/>
          </w:tcPr>
          <w:p w14:paraId="0CB9DFFC" w14:textId="77777777" w:rsidR="00AC327E" w:rsidRPr="006F2EF7" w:rsidRDefault="00AC327E" w:rsidP="00F972C6">
            <w:pPr>
              <w:spacing w:after="0" w:line="480" w:lineRule="auto"/>
              <w:jc w:val="center"/>
              <w:rPr>
                <w:szCs w:val="24"/>
              </w:rPr>
            </w:pPr>
            <w:r>
              <w:rPr>
                <w:szCs w:val="24"/>
              </w:rPr>
              <w:t>12</w:t>
            </w:r>
          </w:p>
        </w:tc>
        <w:tc>
          <w:tcPr>
            <w:tcW w:w="3293" w:type="pct"/>
            <w:vAlign w:val="center"/>
          </w:tcPr>
          <w:p w14:paraId="51D289C2" w14:textId="77777777" w:rsidR="00AC327E" w:rsidRDefault="00AC327E" w:rsidP="00AC327E">
            <w:r>
              <w:t>Device characterization: J–V, EQE, photoluminescence, impedance</w:t>
            </w:r>
          </w:p>
        </w:tc>
        <w:tc>
          <w:tcPr>
            <w:tcW w:w="1242" w:type="pct"/>
            <w:vAlign w:val="center"/>
          </w:tcPr>
          <w:p w14:paraId="14FBAEB2" w14:textId="77777777" w:rsidR="00AC327E" w:rsidRDefault="00AC327E" w:rsidP="00AC327E">
            <w:r>
              <w:t>Ch. 12</w:t>
            </w:r>
          </w:p>
        </w:tc>
      </w:tr>
      <w:tr w:rsidR="00AC327E" w:rsidRPr="006F2EF7" w14:paraId="50AC5323" w14:textId="77777777" w:rsidTr="00AC327E">
        <w:trPr>
          <w:trHeight w:val="664"/>
        </w:trPr>
        <w:tc>
          <w:tcPr>
            <w:tcW w:w="465" w:type="pct"/>
            <w:vAlign w:val="center"/>
          </w:tcPr>
          <w:p w14:paraId="6E2A184C" w14:textId="77777777" w:rsidR="00AC327E" w:rsidRPr="006F2EF7" w:rsidRDefault="00AC327E" w:rsidP="00F972C6">
            <w:pPr>
              <w:spacing w:after="0" w:line="480" w:lineRule="auto"/>
              <w:jc w:val="center"/>
              <w:rPr>
                <w:szCs w:val="24"/>
              </w:rPr>
            </w:pPr>
            <w:r>
              <w:rPr>
                <w:szCs w:val="24"/>
              </w:rPr>
              <w:t>13</w:t>
            </w:r>
          </w:p>
        </w:tc>
        <w:tc>
          <w:tcPr>
            <w:tcW w:w="3293" w:type="pct"/>
            <w:vAlign w:val="center"/>
          </w:tcPr>
          <w:p w14:paraId="5FF30315" w14:textId="77777777" w:rsidR="00AC327E" w:rsidRDefault="00AC327E" w:rsidP="00AC327E">
            <w:r>
              <w:t>Fabrication techniques: solution processing, vapor deposition, printing</w:t>
            </w:r>
          </w:p>
        </w:tc>
        <w:tc>
          <w:tcPr>
            <w:tcW w:w="1242" w:type="pct"/>
            <w:vAlign w:val="center"/>
          </w:tcPr>
          <w:p w14:paraId="08CA36FE" w14:textId="77777777" w:rsidR="00AC327E" w:rsidRDefault="00AC327E" w:rsidP="00AC327E">
            <w:r>
              <w:t>Ch. 13</w:t>
            </w:r>
          </w:p>
        </w:tc>
      </w:tr>
      <w:tr w:rsidR="00AC327E" w:rsidRPr="006F2EF7" w14:paraId="63E60F3C" w14:textId="77777777" w:rsidTr="00AC327E">
        <w:trPr>
          <w:trHeight w:val="664"/>
        </w:trPr>
        <w:tc>
          <w:tcPr>
            <w:tcW w:w="465" w:type="pct"/>
            <w:vAlign w:val="center"/>
          </w:tcPr>
          <w:p w14:paraId="7DFE4DA3" w14:textId="77777777" w:rsidR="00AC327E" w:rsidRPr="006F2EF7" w:rsidRDefault="00AC327E" w:rsidP="00F972C6">
            <w:pPr>
              <w:spacing w:after="0" w:line="480" w:lineRule="auto"/>
              <w:jc w:val="center"/>
              <w:rPr>
                <w:szCs w:val="24"/>
              </w:rPr>
            </w:pPr>
            <w:r>
              <w:rPr>
                <w:szCs w:val="24"/>
              </w:rPr>
              <w:t>14</w:t>
            </w:r>
          </w:p>
        </w:tc>
        <w:tc>
          <w:tcPr>
            <w:tcW w:w="3293" w:type="pct"/>
            <w:vAlign w:val="center"/>
          </w:tcPr>
          <w:p w14:paraId="1FF563F2" w14:textId="77777777" w:rsidR="00AC327E" w:rsidRDefault="00AC327E" w:rsidP="00AC327E">
            <w:r>
              <w:t>Flexible, transparent, bifacial and BIPV architectures</w:t>
            </w:r>
          </w:p>
        </w:tc>
        <w:tc>
          <w:tcPr>
            <w:tcW w:w="1242" w:type="pct"/>
            <w:vAlign w:val="center"/>
          </w:tcPr>
          <w:p w14:paraId="24080CF6" w14:textId="77777777" w:rsidR="00AC327E" w:rsidRDefault="00AC327E" w:rsidP="00AC327E">
            <w:r>
              <w:t>Ch. 14</w:t>
            </w:r>
          </w:p>
        </w:tc>
      </w:tr>
      <w:tr w:rsidR="00AC327E" w:rsidRPr="006F2EF7" w14:paraId="5AB7B969" w14:textId="77777777" w:rsidTr="00AC327E">
        <w:trPr>
          <w:trHeight w:val="664"/>
        </w:trPr>
        <w:tc>
          <w:tcPr>
            <w:tcW w:w="465" w:type="pct"/>
            <w:vAlign w:val="center"/>
          </w:tcPr>
          <w:p w14:paraId="0BE350C9" w14:textId="77777777" w:rsidR="00AC327E" w:rsidRPr="006F2EF7" w:rsidRDefault="00AC327E" w:rsidP="00F972C6">
            <w:pPr>
              <w:spacing w:after="0" w:line="480" w:lineRule="auto"/>
              <w:jc w:val="center"/>
              <w:rPr>
                <w:szCs w:val="24"/>
              </w:rPr>
            </w:pPr>
            <w:r>
              <w:rPr>
                <w:szCs w:val="24"/>
              </w:rPr>
              <w:t>15</w:t>
            </w:r>
          </w:p>
        </w:tc>
        <w:tc>
          <w:tcPr>
            <w:tcW w:w="3293" w:type="pct"/>
            <w:vAlign w:val="center"/>
          </w:tcPr>
          <w:p w14:paraId="2A9ED649" w14:textId="77777777" w:rsidR="00AC327E" w:rsidRDefault="00AC327E" w:rsidP="00AC327E">
            <w:r>
              <w:t>Degradation pathways and reliability assessment</w:t>
            </w:r>
          </w:p>
        </w:tc>
        <w:tc>
          <w:tcPr>
            <w:tcW w:w="1242" w:type="pct"/>
            <w:vAlign w:val="center"/>
          </w:tcPr>
          <w:p w14:paraId="2A8F68E4" w14:textId="77777777" w:rsidR="00AC327E" w:rsidRDefault="00AC327E" w:rsidP="00AC327E">
            <w:r>
              <w:t>Ch. 15</w:t>
            </w:r>
          </w:p>
        </w:tc>
      </w:tr>
      <w:tr w:rsidR="00AC327E" w:rsidRPr="006F2EF7" w14:paraId="6F22FD78" w14:textId="77777777" w:rsidTr="00AC327E">
        <w:trPr>
          <w:trHeight w:val="664"/>
        </w:trPr>
        <w:tc>
          <w:tcPr>
            <w:tcW w:w="465" w:type="pct"/>
            <w:vAlign w:val="center"/>
          </w:tcPr>
          <w:p w14:paraId="5550CF07" w14:textId="77777777" w:rsidR="00AC327E" w:rsidRPr="006F2EF7" w:rsidRDefault="00AC327E" w:rsidP="00F972C6">
            <w:pPr>
              <w:spacing w:after="0" w:line="480" w:lineRule="auto"/>
              <w:jc w:val="center"/>
              <w:rPr>
                <w:szCs w:val="24"/>
              </w:rPr>
            </w:pPr>
            <w:r>
              <w:rPr>
                <w:szCs w:val="24"/>
              </w:rPr>
              <w:t>16</w:t>
            </w:r>
          </w:p>
        </w:tc>
        <w:tc>
          <w:tcPr>
            <w:tcW w:w="3293" w:type="pct"/>
            <w:vAlign w:val="center"/>
          </w:tcPr>
          <w:p w14:paraId="1823303D" w14:textId="77777777" w:rsidR="00AC327E" w:rsidRDefault="00AC327E" w:rsidP="00AC327E">
            <w:r>
              <w:t>Future PV concepts: quantum dots, perovskite–Si tandems, hot‑carrier cells</w:t>
            </w:r>
          </w:p>
        </w:tc>
        <w:tc>
          <w:tcPr>
            <w:tcW w:w="1242" w:type="pct"/>
            <w:vAlign w:val="center"/>
          </w:tcPr>
          <w:p w14:paraId="18FE4ED5" w14:textId="77777777" w:rsidR="00AC327E" w:rsidRDefault="00AC327E" w:rsidP="00AC327E">
            <w:r>
              <w:t>Ch. 16</w:t>
            </w:r>
          </w:p>
        </w:tc>
      </w:tr>
    </w:tbl>
    <w:p w14:paraId="2C62D85C" w14:textId="77777777" w:rsidR="00AC327E" w:rsidRDefault="00AC327E" w:rsidP="00A84A9F">
      <w:pPr>
        <w:spacing w:line="480" w:lineRule="auto"/>
      </w:pPr>
    </w:p>
    <w:p w14:paraId="67130D52" w14:textId="77777777" w:rsidR="00A84A9F" w:rsidRDefault="00A84A9F" w:rsidP="00290B81"/>
    <w:p w14:paraId="60F30311" w14:textId="77777777" w:rsidR="00FC4377" w:rsidRPr="00FA4202" w:rsidRDefault="00FC4377" w:rsidP="00FA4202">
      <w:pPr>
        <w:tabs>
          <w:tab w:val="left" w:pos="3375"/>
        </w:tabs>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2339" w14:textId="77777777" w:rsidR="00BB0C0D" w:rsidRDefault="00BB0C0D" w:rsidP="00C43620">
      <w:pPr>
        <w:spacing w:after="0" w:line="240" w:lineRule="auto"/>
      </w:pPr>
      <w:r>
        <w:separator/>
      </w:r>
    </w:p>
  </w:endnote>
  <w:endnote w:type="continuationSeparator" w:id="0">
    <w:p w14:paraId="719B9332" w14:textId="77777777" w:rsidR="00BB0C0D" w:rsidRDefault="00BB0C0D"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8AA9"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BB0C0D">
      <w:fldChar w:fldCharType="begin"/>
    </w:r>
    <w:r w:rsidR="00BB0C0D">
      <w:instrText xml:space="preserve"> PAGE   \* MERGEFORMAT </w:instrText>
    </w:r>
    <w:r w:rsidR="00BB0C0D">
      <w:fldChar w:fldCharType="separate"/>
    </w:r>
    <w:r w:rsidR="0085734C">
      <w:rPr>
        <w:noProof/>
      </w:rPr>
      <w:t>1</w:t>
    </w:r>
    <w:r w:rsidR="00BB0C0D">
      <w:rPr>
        <w:noProof/>
      </w:rPr>
      <w:fldChar w:fldCharType="end"/>
    </w:r>
  </w:p>
  <w:p w14:paraId="330D45F2"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16F6" w14:textId="77777777" w:rsidR="00BB0C0D" w:rsidRDefault="00BB0C0D" w:rsidP="00C43620">
      <w:pPr>
        <w:spacing w:after="0" w:line="240" w:lineRule="auto"/>
      </w:pPr>
      <w:r>
        <w:separator/>
      </w:r>
    </w:p>
  </w:footnote>
  <w:footnote w:type="continuationSeparator" w:id="0">
    <w:p w14:paraId="1AD2A323" w14:textId="77777777" w:rsidR="00BB0C0D" w:rsidRDefault="00BB0C0D"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wsTQ3NDUwMQEyjJV0lIJTi4sz8/NACoxqAXU3HxwsAAAA"/>
  </w:docVars>
  <w:rsids>
    <w:rsidRoot w:val="00C43620"/>
    <w:rsid w:val="00027BAD"/>
    <w:rsid w:val="000E1D28"/>
    <w:rsid w:val="0019330F"/>
    <w:rsid w:val="001A3F99"/>
    <w:rsid w:val="0022737D"/>
    <w:rsid w:val="0023134B"/>
    <w:rsid w:val="00275249"/>
    <w:rsid w:val="00290B81"/>
    <w:rsid w:val="002D248F"/>
    <w:rsid w:val="00330137"/>
    <w:rsid w:val="00336F0B"/>
    <w:rsid w:val="00342D75"/>
    <w:rsid w:val="0036799E"/>
    <w:rsid w:val="003B71E6"/>
    <w:rsid w:val="00497D2C"/>
    <w:rsid w:val="0057151F"/>
    <w:rsid w:val="006345A0"/>
    <w:rsid w:val="0078114A"/>
    <w:rsid w:val="00782096"/>
    <w:rsid w:val="007D271A"/>
    <w:rsid w:val="007D49B6"/>
    <w:rsid w:val="00807273"/>
    <w:rsid w:val="00823459"/>
    <w:rsid w:val="0083201A"/>
    <w:rsid w:val="0085734C"/>
    <w:rsid w:val="00862937"/>
    <w:rsid w:val="00892F73"/>
    <w:rsid w:val="008F3175"/>
    <w:rsid w:val="009C4F70"/>
    <w:rsid w:val="00A21C08"/>
    <w:rsid w:val="00A84A9F"/>
    <w:rsid w:val="00AC327E"/>
    <w:rsid w:val="00AF1563"/>
    <w:rsid w:val="00AF4489"/>
    <w:rsid w:val="00B66B7F"/>
    <w:rsid w:val="00BA6BE1"/>
    <w:rsid w:val="00BB0C0D"/>
    <w:rsid w:val="00C1511C"/>
    <w:rsid w:val="00C23299"/>
    <w:rsid w:val="00C403BF"/>
    <w:rsid w:val="00C43620"/>
    <w:rsid w:val="00C61198"/>
    <w:rsid w:val="00CD5ED7"/>
    <w:rsid w:val="00D8284D"/>
    <w:rsid w:val="00D94CC7"/>
    <w:rsid w:val="00DA3373"/>
    <w:rsid w:val="00DA76E8"/>
    <w:rsid w:val="00DC5B4C"/>
    <w:rsid w:val="00E62C51"/>
    <w:rsid w:val="00EB16F5"/>
    <w:rsid w:val="00FA4202"/>
    <w:rsid w:val="00FC4377"/>
    <w:rsid w:val="00FF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D0EE"/>
  <w15:docId w15:val="{EB554D10-95D1-4C71-922D-EA63F7A4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7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14</cp:revision>
  <cp:lastPrinted>2013-09-06T12:31:00Z</cp:lastPrinted>
  <dcterms:created xsi:type="dcterms:W3CDTF">2025-11-17T10:43:00Z</dcterms:created>
  <dcterms:modified xsi:type="dcterms:W3CDTF">2025-12-03T09:07:00Z</dcterms:modified>
</cp:coreProperties>
</file>