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10" w:type="dxa"/>
        <w:tblInd w:w="-3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980"/>
        <w:gridCol w:w="3510"/>
        <w:gridCol w:w="720"/>
        <w:gridCol w:w="900"/>
        <w:gridCol w:w="3600"/>
      </w:tblGrid>
      <w:tr w:rsidR="00547035" w:rsidRPr="005C30C3" w14:paraId="6407AAAD" w14:textId="77777777" w:rsidTr="00E33F10">
        <w:trPr>
          <w:trHeight w:hRule="exact" w:val="1380"/>
        </w:trPr>
        <w:tc>
          <w:tcPr>
            <w:tcW w:w="10710" w:type="dxa"/>
            <w:gridSpan w:val="5"/>
            <w:tcBorders>
              <w:top w:val="double" w:sz="4" w:space="0" w:color="auto"/>
              <w:bottom w:val="double" w:sz="4" w:space="0" w:color="auto"/>
            </w:tcBorders>
            <w:tcMar>
              <w:top w:w="144" w:type="dxa"/>
              <w:left w:w="144" w:type="dxa"/>
              <w:bottom w:w="144" w:type="dxa"/>
              <w:right w:w="144" w:type="dxa"/>
            </w:tcMar>
            <w:vAlign w:val="center"/>
          </w:tcPr>
          <w:p w14:paraId="68A54EAC" w14:textId="77777777" w:rsidR="00547035" w:rsidRPr="00663D95" w:rsidRDefault="005B02BC" w:rsidP="003F6B4F">
            <w:pPr>
              <w:rPr>
                <w:b/>
                <w:sz w:val="40"/>
                <w:szCs w:val="40"/>
              </w:rPr>
            </w:pPr>
            <w:r>
              <w:rPr>
                <w:b/>
                <w:noProof/>
                <w:sz w:val="36"/>
                <w:szCs w:val="40"/>
              </w:rPr>
              <w:drawing>
                <wp:anchor distT="0" distB="0" distL="114300" distR="114300" simplePos="0" relativeHeight="251658240" behindDoc="1" locked="0" layoutInCell="1" allowOverlap="1" wp14:anchorId="4583E2E1" wp14:editId="6FA3B431">
                  <wp:simplePos x="0" y="0"/>
                  <wp:positionH relativeFrom="column">
                    <wp:posOffset>24130</wp:posOffset>
                  </wp:positionH>
                  <wp:positionV relativeFrom="paragraph">
                    <wp:posOffset>-8255</wp:posOffset>
                  </wp:positionV>
                  <wp:extent cx="861060" cy="824865"/>
                  <wp:effectExtent l="19050" t="0" r="0" b="0"/>
                  <wp:wrapThrough wrapText="bothSides">
                    <wp:wrapPolygon edited="0">
                      <wp:start x="-478" y="0"/>
                      <wp:lineTo x="-478" y="20952"/>
                      <wp:lineTo x="21504" y="20952"/>
                      <wp:lineTo x="21504" y="0"/>
                      <wp:lineTo x="-478" y="0"/>
                    </wp:wrapPolygon>
                  </wp:wrapThrough>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srcRect/>
                          <a:stretch>
                            <a:fillRect/>
                          </a:stretch>
                        </pic:blipFill>
                        <pic:spPr bwMode="auto">
                          <a:xfrm>
                            <a:off x="0" y="0"/>
                            <a:ext cx="861060" cy="824865"/>
                          </a:xfrm>
                          <a:prstGeom prst="rect">
                            <a:avLst/>
                          </a:prstGeom>
                          <a:noFill/>
                          <a:ln w="9525">
                            <a:noFill/>
                            <a:miter lim="800000"/>
                            <a:headEnd/>
                            <a:tailEnd/>
                          </a:ln>
                        </pic:spPr>
                      </pic:pic>
                    </a:graphicData>
                  </a:graphic>
                </wp:anchor>
              </w:drawing>
            </w:r>
            <w:r w:rsidR="007069F2">
              <w:rPr>
                <w:b/>
                <w:sz w:val="36"/>
                <w:szCs w:val="40"/>
              </w:rPr>
              <w:t xml:space="preserve">             </w:t>
            </w:r>
            <w:r w:rsidR="00547035" w:rsidRPr="00663D95">
              <w:rPr>
                <w:b/>
                <w:sz w:val="36"/>
                <w:szCs w:val="40"/>
              </w:rPr>
              <w:t>University of Management &amp; Technology</w:t>
            </w:r>
          </w:p>
          <w:p w14:paraId="28C80C81" w14:textId="77777777" w:rsidR="00547035" w:rsidRPr="00663D95" w:rsidRDefault="00547035" w:rsidP="00694CA1">
            <w:pPr>
              <w:jc w:val="center"/>
              <w:rPr>
                <w:sz w:val="36"/>
                <w:szCs w:val="40"/>
              </w:rPr>
            </w:pPr>
            <w:r w:rsidRPr="00663D95">
              <w:rPr>
                <w:sz w:val="36"/>
                <w:szCs w:val="40"/>
              </w:rPr>
              <w:t xml:space="preserve">School of </w:t>
            </w:r>
            <w:r w:rsidR="00807E31" w:rsidRPr="00663D95">
              <w:rPr>
                <w:sz w:val="36"/>
                <w:szCs w:val="40"/>
              </w:rPr>
              <w:t>Science</w:t>
            </w:r>
          </w:p>
          <w:p w14:paraId="1D94798C" w14:textId="77777777" w:rsidR="00FD7A55" w:rsidRPr="00663D95" w:rsidRDefault="00547035" w:rsidP="00E33F10">
            <w:pPr>
              <w:jc w:val="center"/>
              <w:rPr>
                <w:sz w:val="36"/>
                <w:szCs w:val="40"/>
              </w:rPr>
            </w:pPr>
            <w:r w:rsidRPr="00663D95">
              <w:rPr>
                <w:sz w:val="36"/>
                <w:szCs w:val="40"/>
              </w:rPr>
              <w:t xml:space="preserve">Department of </w:t>
            </w:r>
            <w:r w:rsidR="00FD7A55" w:rsidRPr="00663D95">
              <w:rPr>
                <w:sz w:val="36"/>
                <w:szCs w:val="40"/>
              </w:rPr>
              <w:t>Chemistry</w:t>
            </w:r>
          </w:p>
        </w:tc>
      </w:tr>
      <w:tr w:rsidR="00A55C5C" w:rsidRPr="005C30C3" w14:paraId="4588D2AF" w14:textId="77777777" w:rsidTr="00025679">
        <w:trPr>
          <w:trHeight w:val="144"/>
        </w:trPr>
        <w:tc>
          <w:tcPr>
            <w:tcW w:w="10710" w:type="dxa"/>
            <w:gridSpan w:val="5"/>
            <w:tcBorders>
              <w:top w:val="double" w:sz="4" w:space="0" w:color="auto"/>
              <w:bottom w:val="single" w:sz="4" w:space="0" w:color="auto"/>
            </w:tcBorders>
            <w:tcMar>
              <w:top w:w="144" w:type="dxa"/>
              <w:left w:w="144" w:type="dxa"/>
              <w:bottom w:w="144" w:type="dxa"/>
              <w:right w:w="144" w:type="dxa"/>
            </w:tcMar>
            <w:vAlign w:val="center"/>
          </w:tcPr>
          <w:p w14:paraId="152B9F3E" w14:textId="77777777" w:rsidR="00A55C5C" w:rsidRPr="00663D95" w:rsidRDefault="00CC1CB1" w:rsidP="0071348B">
            <w:pPr>
              <w:pStyle w:val="Title"/>
              <w:ind w:left="-72"/>
              <w:rPr>
                <w:rFonts w:ascii="Times New Roman" w:hAnsi="Times New Roman"/>
                <w:sz w:val="38"/>
                <w:szCs w:val="32"/>
              </w:rPr>
            </w:pPr>
            <w:r w:rsidRPr="00663D95">
              <w:rPr>
                <w:rFonts w:ascii="Times New Roman" w:hAnsi="Times New Roman"/>
                <w:sz w:val="36"/>
                <w:szCs w:val="44"/>
              </w:rPr>
              <w:t>CH-</w:t>
            </w:r>
            <w:r>
              <w:rPr>
                <w:rFonts w:ascii="Times New Roman" w:hAnsi="Times New Roman"/>
                <w:sz w:val="36"/>
                <w:szCs w:val="44"/>
              </w:rPr>
              <w:t>311</w:t>
            </w:r>
            <w:r w:rsidRPr="00663D95">
              <w:rPr>
                <w:rFonts w:ascii="Times New Roman" w:hAnsi="Times New Roman"/>
                <w:sz w:val="36"/>
                <w:szCs w:val="44"/>
              </w:rPr>
              <w:t xml:space="preserve"> </w:t>
            </w:r>
            <w:r>
              <w:rPr>
                <w:rFonts w:ascii="Times New Roman" w:hAnsi="Times New Roman"/>
                <w:sz w:val="36"/>
                <w:szCs w:val="44"/>
              </w:rPr>
              <w:t>(INDUSTRIAL CHEMISTRY-I)</w:t>
            </w:r>
          </w:p>
        </w:tc>
      </w:tr>
      <w:tr w:rsidR="006D0990" w:rsidRPr="006D0990" w14:paraId="6C466127" w14:textId="77777777" w:rsidTr="00CC1CB1">
        <w:trPr>
          <w:trHeight w:val="20"/>
        </w:trPr>
        <w:tc>
          <w:tcPr>
            <w:tcW w:w="1980" w:type="dxa"/>
            <w:tcBorders>
              <w:top w:val="single" w:sz="4" w:space="0" w:color="auto"/>
              <w:bottom w:val="double" w:sz="4" w:space="0" w:color="auto"/>
            </w:tcBorders>
            <w:tcMar>
              <w:top w:w="144" w:type="dxa"/>
              <w:left w:w="144" w:type="dxa"/>
              <w:bottom w:w="144" w:type="dxa"/>
              <w:right w:w="144" w:type="dxa"/>
            </w:tcMar>
            <w:vAlign w:val="center"/>
          </w:tcPr>
          <w:p w14:paraId="4F1F05B2" w14:textId="77777777" w:rsidR="006D0990" w:rsidRPr="00663D95" w:rsidRDefault="006D0990" w:rsidP="00663D95">
            <w:pPr>
              <w:tabs>
                <w:tab w:val="left" w:pos="578"/>
                <w:tab w:val="left" w:pos="900"/>
                <w:tab w:val="left" w:pos="3131"/>
                <w:tab w:val="left" w:pos="5607"/>
                <w:tab w:val="left" w:pos="8082"/>
              </w:tabs>
              <w:ind w:left="-90" w:right="-25"/>
              <w:rPr>
                <w:b/>
              </w:rPr>
            </w:pPr>
            <w:r w:rsidRPr="00663D95">
              <w:rPr>
                <w:b/>
              </w:rPr>
              <w:t>Pre-requisite</w:t>
            </w:r>
          </w:p>
        </w:tc>
        <w:tc>
          <w:tcPr>
            <w:tcW w:w="3510" w:type="dxa"/>
            <w:tcBorders>
              <w:top w:val="single" w:sz="4" w:space="0" w:color="auto"/>
              <w:bottom w:val="double" w:sz="4" w:space="0" w:color="auto"/>
            </w:tcBorders>
            <w:tcMar>
              <w:top w:w="144" w:type="dxa"/>
              <w:left w:w="144" w:type="dxa"/>
              <w:bottom w:w="144" w:type="dxa"/>
              <w:right w:w="144" w:type="dxa"/>
            </w:tcMar>
            <w:vAlign w:val="center"/>
          </w:tcPr>
          <w:p w14:paraId="742A6C41" w14:textId="51EA208F" w:rsidR="006D0990" w:rsidRPr="00663D95" w:rsidRDefault="00CC1CB1" w:rsidP="000E4DE7">
            <w:pPr>
              <w:tabs>
                <w:tab w:val="left" w:pos="578"/>
                <w:tab w:val="left" w:pos="3131"/>
                <w:tab w:val="left" w:pos="5607"/>
                <w:tab w:val="left" w:pos="8082"/>
              </w:tabs>
              <w:ind w:right="-25"/>
              <w:jc w:val="center"/>
              <w:rPr>
                <w:bCs/>
              </w:rPr>
            </w:pPr>
            <w:r>
              <w:rPr>
                <w:bCs/>
              </w:rPr>
              <w:t>Nil</w:t>
            </w:r>
          </w:p>
        </w:tc>
        <w:tc>
          <w:tcPr>
            <w:tcW w:w="1620" w:type="dxa"/>
            <w:gridSpan w:val="2"/>
            <w:tcBorders>
              <w:top w:val="single" w:sz="4" w:space="0" w:color="auto"/>
              <w:bottom w:val="double" w:sz="4" w:space="0" w:color="auto"/>
            </w:tcBorders>
            <w:tcMar>
              <w:top w:w="144" w:type="dxa"/>
              <w:left w:w="144" w:type="dxa"/>
              <w:bottom w:w="144" w:type="dxa"/>
              <w:right w:w="144" w:type="dxa"/>
            </w:tcMar>
            <w:vAlign w:val="center"/>
          </w:tcPr>
          <w:p w14:paraId="1A87FDB7" w14:textId="77777777" w:rsidR="006D0990" w:rsidRPr="00663D95" w:rsidRDefault="006D0990" w:rsidP="00663D95">
            <w:pPr>
              <w:tabs>
                <w:tab w:val="left" w:pos="578"/>
                <w:tab w:val="left" w:pos="900"/>
                <w:tab w:val="left" w:pos="3131"/>
                <w:tab w:val="left" w:pos="5607"/>
                <w:tab w:val="left" w:pos="8082"/>
              </w:tabs>
              <w:ind w:left="-90" w:right="-25"/>
              <w:rPr>
                <w:b/>
              </w:rPr>
            </w:pPr>
            <w:r w:rsidRPr="00663D95">
              <w:rPr>
                <w:b/>
              </w:rPr>
              <w:t>Credit Hours</w:t>
            </w:r>
          </w:p>
        </w:tc>
        <w:tc>
          <w:tcPr>
            <w:tcW w:w="3600" w:type="dxa"/>
            <w:tcBorders>
              <w:top w:val="single" w:sz="4" w:space="0" w:color="auto"/>
              <w:bottom w:val="double" w:sz="4" w:space="0" w:color="auto"/>
            </w:tcBorders>
            <w:tcMar>
              <w:top w:w="144" w:type="dxa"/>
              <w:left w:w="144" w:type="dxa"/>
              <w:bottom w:w="144" w:type="dxa"/>
              <w:right w:w="144" w:type="dxa"/>
            </w:tcMar>
            <w:vAlign w:val="center"/>
          </w:tcPr>
          <w:p w14:paraId="6E1D11F2" w14:textId="77777777" w:rsidR="006D0990" w:rsidRPr="00663D95" w:rsidRDefault="0071348B" w:rsidP="000E4DE7">
            <w:pPr>
              <w:tabs>
                <w:tab w:val="left" w:pos="578"/>
                <w:tab w:val="left" w:pos="3131"/>
                <w:tab w:val="left" w:pos="5607"/>
                <w:tab w:val="left" w:pos="8082"/>
              </w:tabs>
              <w:ind w:right="576"/>
              <w:jc w:val="center"/>
              <w:rPr>
                <w:bCs/>
              </w:rPr>
            </w:pPr>
            <w:r>
              <w:rPr>
                <w:bCs/>
              </w:rPr>
              <w:t>3</w:t>
            </w:r>
          </w:p>
        </w:tc>
      </w:tr>
      <w:tr w:rsidR="00CC1CB1" w:rsidRPr="006D0990" w14:paraId="04507CE9" w14:textId="77777777" w:rsidTr="00CC1CB1">
        <w:tc>
          <w:tcPr>
            <w:tcW w:w="1980" w:type="dxa"/>
            <w:tcBorders>
              <w:top w:val="double" w:sz="4" w:space="0" w:color="auto"/>
            </w:tcBorders>
            <w:tcMar>
              <w:top w:w="144" w:type="dxa"/>
              <w:left w:w="144" w:type="dxa"/>
              <w:bottom w:w="144" w:type="dxa"/>
              <w:right w:w="144" w:type="dxa"/>
            </w:tcMar>
            <w:vAlign w:val="center"/>
          </w:tcPr>
          <w:p w14:paraId="10FB9820" w14:textId="77777777" w:rsidR="00CC1CB1" w:rsidRPr="00663D95" w:rsidRDefault="00CC1CB1" w:rsidP="00663D95">
            <w:pPr>
              <w:tabs>
                <w:tab w:val="left" w:pos="578"/>
                <w:tab w:val="left" w:pos="3131"/>
                <w:tab w:val="left" w:pos="5607"/>
                <w:tab w:val="left" w:pos="8082"/>
              </w:tabs>
              <w:ind w:left="-90" w:right="-25"/>
            </w:pPr>
            <w:r w:rsidRPr="00663D95">
              <w:rPr>
                <w:b/>
                <w:bCs/>
              </w:rPr>
              <w:t>Course Description</w:t>
            </w:r>
          </w:p>
        </w:tc>
        <w:tc>
          <w:tcPr>
            <w:tcW w:w="8730" w:type="dxa"/>
            <w:gridSpan w:val="4"/>
            <w:tcBorders>
              <w:top w:val="double" w:sz="4" w:space="0" w:color="auto"/>
            </w:tcBorders>
            <w:tcMar>
              <w:top w:w="144" w:type="dxa"/>
              <w:left w:w="144" w:type="dxa"/>
              <w:bottom w:w="144" w:type="dxa"/>
              <w:right w:w="144" w:type="dxa"/>
            </w:tcMar>
          </w:tcPr>
          <w:p w14:paraId="1F07ABA4" w14:textId="77777777" w:rsidR="00CC1CB1" w:rsidRPr="00663D95" w:rsidRDefault="00CC1CB1" w:rsidP="002B7774">
            <w:pPr>
              <w:spacing w:line="276" w:lineRule="auto"/>
              <w:jc w:val="both"/>
            </w:pPr>
            <w:r w:rsidRPr="00E665CD">
              <w:t>The majority of graduate chemists work in industrial chemistry environments. Therefore, it is critical to have an understanding of chemistry in this context. This course covers the main basic aspects of Industrial chemistry in a context especially designed</w:t>
            </w:r>
            <w:r>
              <w:t xml:space="preserve"> for </w:t>
            </w:r>
            <w:r w:rsidRPr="00E665CD">
              <w:t>BS Chemistry students. The course</w:t>
            </w:r>
            <w:r>
              <w:t xml:space="preserve"> is </w:t>
            </w:r>
            <w:r w:rsidRPr="00E665CD">
              <w:t>c</w:t>
            </w:r>
            <w:r>
              <w:t xml:space="preserve">overing the </w:t>
            </w:r>
            <w:r w:rsidRPr="00E665CD">
              <w:t>production of important compounds</w:t>
            </w:r>
            <w:r>
              <w:t xml:space="preserve"> of inorganic chemistry and</w:t>
            </w:r>
            <w:r w:rsidRPr="00E665CD">
              <w:t xml:space="preserve"> organic chemistry. The</w:t>
            </w:r>
            <w:r>
              <w:t xml:space="preserve"> chemical</w:t>
            </w:r>
            <w:r w:rsidRPr="00E665CD">
              <w:t xml:space="preserve"> reactions will be illustrated to assist the understanding </w:t>
            </w:r>
            <w:r>
              <w:t xml:space="preserve">of </w:t>
            </w:r>
            <w:r w:rsidRPr="00E665CD">
              <w:t>processes taking place in the indust</w:t>
            </w:r>
            <w:r>
              <w:t xml:space="preserve">rial production of chemicals. It </w:t>
            </w:r>
            <w:r w:rsidRPr="00E665CD">
              <w:t>w</w:t>
            </w:r>
            <w:r>
              <w:t xml:space="preserve">ill cover important reactions </w:t>
            </w:r>
            <w:r w:rsidRPr="00E665CD">
              <w:t>of Glass Industry, Cement Industry Ceramics Industry,</w:t>
            </w:r>
            <w:r>
              <w:t xml:space="preserve"> Photographic product Industry, Surface Coating Industry and Soap Industry</w:t>
            </w:r>
            <w:r w:rsidRPr="00E665CD">
              <w:t xml:space="preserve">. </w:t>
            </w:r>
          </w:p>
        </w:tc>
      </w:tr>
      <w:tr w:rsidR="00CC1CB1" w:rsidRPr="006D0990" w14:paraId="6EEFB7B7" w14:textId="77777777" w:rsidTr="00CC1CB1">
        <w:trPr>
          <w:trHeight w:val="2303"/>
        </w:trPr>
        <w:tc>
          <w:tcPr>
            <w:tcW w:w="1980" w:type="dxa"/>
            <w:tcMar>
              <w:top w:w="144" w:type="dxa"/>
              <w:left w:w="144" w:type="dxa"/>
              <w:bottom w:w="144" w:type="dxa"/>
              <w:right w:w="144" w:type="dxa"/>
            </w:tcMar>
            <w:vAlign w:val="center"/>
          </w:tcPr>
          <w:p w14:paraId="1ED4B151" w14:textId="77777777" w:rsidR="00CC1CB1" w:rsidRPr="00663D95" w:rsidRDefault="00CC1CB1" w:rsidP="00663D95">
            <w:pPr>
              <w:tabs>
                <w:tab w:val="left" w:pos="578"/>
                <w:tab w:val="left" w:pos="3131"/>
                <w:tab w:val="left" w:pos="5607"/>
                <w:tab w:val="left" w:pos="8082"/>
              </w:tabs>
              <w:ind w:left="-90" w:right="-25"/>
              <w:rPr>
                <w:b/>
                <w:bCs/>
              </w:rPr>
            </w:pPr>
            <w:r w:rsidRPr="00663D95">
              <w:rPr>
                <w:b/>
                <w:bCs/>
              </w:rPr>
              <w:t>Expected Outcomes</w:t>
            </w:r>
          </w:p>
        </w:tc>
        <w:tc>
          <w:tcPr>
            <w:tcW w:w="8730" w:type="dxa"/>
            <w:gridSpan w:val="4"/>
            <w:tcMar>
              <w:top w:w="144" w:type="dxa"/>
              <w:left w:w="144" w:type="dxa"/>
              <w:bottom w:w="144" w:type="dxa"/>
              <w:right w:w="144" w:type="dxa"/>
            </w:tcMar>
          </w:tcPr>
          <w:p w14:paraId="60A32C84" w14:textId="77777777" w:rsidR="00CC1CB1" w:rsidRPr="00663D95" w:rsidRDefault="00CC1CB1" w:rsidP="002B7774">
            <w:pPr>
              <w:spacing w:before="100" w:beforeAutospacing="1" w:after="100" w:afterAutospacing="1" w:line="276" w:lineRule="auto"/>
              <w:jc w:val="both"/>
            </w:pPr>
            <w:r w:rsidRPr="00B55870">
              <w:t>This course aims to provide students with an understanding of chemistry as it applies to industrial processes, as well as an understanding of some basic concepts that are relevant in the industrial world. Specific areas include industr</w:t>
            </w:r>
            <w:r>
              <w:t xml:space="preserve">ial organic chemistry and </w:t>
            </w:r>
            <w:r w:rsidRPr="00B55870">
              <w:t>industrial inorganic chemistry</w:t>
            </w:r>
            <w:r>
              <w:t>.</w:t>
            </w:r>
            <w:r w:rsidRPr="00B55870">
              <w:t xml:space="preserve"> </w:t>
            </w:r>
            <w:r w:rsidRPr="002A4209">
              <w:t xml:space="preserve">On successful completion of </w:t>
            </w:r>
            <w:r>
              <w:t>this course, students will be able to develop</w:t>
            </w:r>
            <w:r w:rsidRPr="002A4209">
              <w:t xml:space="preserve"> an understanding of the range and uses of chemistry methods in industry</w:t>
            </w:r>
            <w:r>
              <w:t>, the r</w:t>
            </w:r>
            <w:r w:rsidRPr="002A4209">
              <w:t>ole of chemistry in industrial processing</w:t>
            </w:r>
            <w:r>
              <w:t xml:space="preserve"> and</w:t>
            </w:r>
            <w:r w:rsidRPr="002A4209">
              <w:t xml:space="preserve"> an understanding of the chemist problem solving for industry</w:t>
            </w:r>
            <w:r>
              <w:t>.</w:t>
            </w:r>
          </w:p>
        </w:tc>
      </w:tr>
      <w:tr w:rsidR="00CC1CB1" w:rsidRPr="006D0990" w14:paraId="63EF0571" w14:textId="77777777" w:rsidTr="00CC1CB1">
        <w:trPr>
          <w:trHeight w:val="503"/>
        </w:trPr>
        <w:tc>
          <w:tcPr>
            <w:tcW w:w="1980" w:type="dxa"/>
            <w:tcBorders>
              <w:bottom w:val="single" w:sz="4" w:space="0" w:color="auto"/>
            </w:tcBorders>
            <w:tcMar>
              <w:top w:w="144" w:type="dxa"/>
              <w:left w:w="144" w:type="dxa"/>
              <w:bottom w:w="144" w:type="dxa"/>
              <w:right w:w="144" w:type="dxa"/>
            </w:tcMar>
            <w:vAlign w:val="center"/>
          </w:tcPr>
          <w:p w14:paraId="7D67D9AB" w14:textId="77777777" w:rsidR="00CC1CB1" w:rsidRPr="00694CA1" w:rsidRDefault="00CC1CB1" w:rsidP="001B5F33">
            <w:pPr>
              <w:tabs>
                <w:tab w:val="left" w:pos="578"/>
                <w:tab w:val="left" w:pos="3131"/>
                <w:tab w:val="left" w:pos="5607"/>
                <w:tab w:val="left" w:pos="8082"/>
              </w:tabs>
              <w:ind w:right="-25"/>
              <w:rPr>
                <w:b/>
                <w:bCs/>
              </w:rPr>
            </w:pPr>
            <w:r w:rsidRPr="00694CA1">
              <w:rPr>
                <w:b/>
                <w:bCs/>
              </w:rPr>
              <w:t>Textbook</w:t>
            </w:r>
          </w:p>
          <w:p w14:paraId="14166E6F" w14:textId="77777777" w:rsidR="00CC1CB1" w:rsidRPr="00694CA1" w:rsidRDefault="00CC1CB1" w:rsidP="001B5F33">
            <w:pPr>
              <w:tabs>
                <w:tab w:val="left" w:pos="578"/>
                <w:tab w:val="left" w:pos="3131"/>
                <w:tab w:val="left" w:pos="5607"/>
                <w:tab w:val="left" w:pos="8082"/>
              </w:tabs>
              <w:ind w:right="-25"/>
              <w:rPr>
                <w:b/>
                <w:bCs/>
              </w:rPr>
            </w:pPr>
            <w:r w:rsidRPr="00694CA1">
              <w:rPr>
                <w:b/>
                <w:bCs/>
              </w:rPr>
              <w:t xml:space="preserve">      &amp;</w:t>
            </w:r>
          </w:p>
          <w:p w14:paraId="3B974ECC" w14:textId="77777777" w:rsidR="00CC1CB1" w:rsidRPr="00663D95" w:rsidRDefault="00CC1CB1" w:rsidP="001B5F33">
            <w:pPr>
              <w:tabs>
                <w:tab w:val="left" w:pos="578"/>
                <w:tab w:val="left" w:pos="3131"/>
                <w:tab w:val="left" w:pos="5607"/>
                <w:tab w:val="left" w:pos="8082"/>
              </w:tabs>
              <w:ind w:right="-25"/>
              <w:rPr>
                <w:b/>
                <w:bCs/>
              </w:rPr>
            </w:pPr>
            <w:r w:rsidRPr="00694CA1">
              <w:rPr>
                <w:b/>
                <w:bCs/>
              </w:rPr>
              <w:t>Reference B</w:t>
            </w:r>
            <w:r w:rsidRPr="00663D95">
              <w:rPr>
                <w:b/>
                <w:bCs/>
              </w:rPr>
              <w:t>ook</w:t>
            </w:r>
          </w:p>
        </w:tc>
        <w:tc>
          <w:tcPr>
            <w:tcW w:w="4230" w:type="dxa"/>
            <w:gridSpan w:val="2"/>
            <w:tcBorders>
              <w:bottom w:val="single" w:sz="4" w:space="0" w:color="auto"/>
            </w:tcBorders>
            <w:tcMar>
              <w:top w:w="144" w:type="dxa"/>
              <w:left w:w="144" w:type="dxa"/>
              <w:bottom w:w="144" w:type="dxa"/>
              <w:right w:w="144" w:type="dxa"/>
            </w:tcMar>
          </w:tcPr>
          <w:p w14:paraId="36B6C3F9" w14:textId="77777777" w:rsidR="00CC1CB1" w:rsidRPr="00CC1CB1" w:rsidRDefault="00CC1CB1" w:rsidP="00CC1CB1">
            <w:pPr>
              <w:jc w:val="both"/>
              <w:rPr>
                <w:bCs/>
              </w:rPr>
            </w:pPr>
            <w:r w:rsidRPr="00CC1CB1">
              <w:rPr>
                <w:bCs/>
              </w:rPr>
              <w:t xml:space="preserve">Handbook of Industrial Chemistry                                </w:t>
            </w:r>
          </w:p>
          <w:p w14:paraId="1C88F576" w14:textId="77777777" w:rsidR="00CC1CB1" w:rsidRPr="00CC1CB1" w:rsidRDefault="00CC1CB1" w:rsidP="00CC1CB1">
            <w:pPr>
              <w:spacing w:before="60" w:after="60"/>
              <w:jc w:val="both"/>
              <w:rPr>
                <w:bCs/>
              </w:rPr>
            </w:pPr>
            <w:r w:rsidRPr="00CC1CB1">
              <w:rPr>
                <w:bCs/>
                <w:iCs/>
              </w:rPr>
              <w:t xml:space="preserve">Published  in: 2005, By </w:t>
            </w:r>
            <w:r w:rsidRPr="00CC1CB1">
              <w:t>M. Farhat Ali,</w:t>
            </w:r>
            <w:r w:rsidRPr="00CC1CB1">
              <w:rPr>
                <w:bCs/>
                <w:iCs/>
              </w:rPr>
              <w:t xml:space="preserve">            </w:t>
            </w:r>
          </w:p>
          <w:p w14:paraId="4D3D66B7" w14:textId="77777777" w:rsidR="00CC1CB1" w:rsidRPr="00CC1CB1" w:rsidRDefault="00CC1CB1" w:rsidP="00CC1CB1">
            <w:pPr>
              <w:spacing w:before="60" w:after="60"/>
              <w:jc w:val="both"/>
            </w:pPr>
            <w:proofErr w:type="spellStart"/>
            <w:r w:rsidRPr="00CC1CB1">
              <w:t>Bassam</w:t>
            </w:r>
            <w:proofErr w:type="spellEnd"/>
            <w:r w:rsidRPr="00CC1CB1">
              <w:t xml:space="preserve"> El Ali and James G.S.</w:t>
            </w:r>
          </w:p>
          <w:p w14:paraId="479A52D2" w14:textId="77777777" w:rsidR="00CC1CB1" w:rsidRPr="00CC1CB1" w:rsidRDefault="00CC1CB1" w:rsidP="00CC1CB1">
            <w:pPr>
              <w:spacing w:before="60" w:after="60"/>
              <w:jc w:val="both"/>
            </w:pPr>
            <w:r w:rsidRPr="00CC1CB1">
              <w:t xml:space="preserve">Publisher: McGraw-Hill Professional              </w:t>
            </w:r>
          </w:p>
        </w:tc>
        <w:tc>
          <w:tcPr>
            <w:tcW w:w="4500" w:type="dxa"/>
            <w:gridSpan w:val="2"/>
            <w:tcBorders>
              <w:bottom w:val="single" w:sz="4" w:space="0" w:color="auto"/>
            </w:tcBorders>
          </w:tcPr>
          <w:p w14:paraId="0668220D" w14:textId="77777777" w:rsidR="00CC1CB1" w:rsidRPr="00CC1CB1" w:rsidRDefault="00CC1CB1" w:rsidP="00CC1CB1">
            <w:pPr>
              <w:spacing w:before="60" w:line="276" w:lineRule="auto"/>
              <w:jc w:val="both"/>
            </w:pPr>
            <w:r w:rsidRPr="00CC1CB1">
              <w:t>Shreve's Chemical Process Industries  Professional</w:t>
            </w:r>
            <w:r>
              <w:t xml:space="preserve">, </w:t>
            </w:r>
            <w:r w:rsidRPr="00CC1CB1">
              <w:t>Fifth Edition (2010) By: George T. Austin</w:t>
            </w:r>
            <w:r>
              <w:t>,</w:t>
            </w:r>
            <w:r w:rsidRPr="00CC1CB1">
              <w:t xml:space="preserve"> Professor Washington State University</w:t>
            </w:r>
            <w:r>
              <w:t xml:space="preserve"> </w:t>
            </w:r>
            <w:r w:rsidRPr="00CC1CB1">
              <w:t>Publisher: McGraw-Hill</w:t>
            </w:r>
          </w:p>
        </w:tc>
      </w:tr>
      <w:tr w:rsidR="008D505F" w:rsidRPr="006D0990" w14:paraId="5AF3128C" w14:textId="77777777" w:rsidTr="00CC1CB1">
        <w:trPr>
          <w:trHeight w:val="719"/>
        </w:trPr>
        <w:tc>
          <w:tcPr>
            <w:tcW w:w="1980" w:type="dxa"/>
            <w:tcBorders>
              <w:top w:val="single" w:sz="4" w:space="0" w:color="auto"/>
              <w:bottom w:val="double" w:sz="4" w:space="0" w:color="auto"/>
            </w:tcBorders>
            <w:tcMar>
              <w:top w:w="144" w:type="dxa"/>
              <w:left w:w="144" w:type="dxa"/>
              <w:bottom w:w="144" w:type="dxa"/>
              <w:right w:w="144" w:type="dxa"/>
            </w:tcMar>
            <w:vAlign w:val="center"/>
          </w:tcPr>
          <w:p w14:paraId="63B0AD25" w14:textId="77777777" w:rsidR="008D505F" w:rsidRPr="007A7934" w:rsidRDefault="008D505F" w:rsidP="00AE6A3C">
            <w:pPr>
              <w:tabs>
                <w:tab w:val="left" w:pos="578"/>
                <w:tab w:val="left" w:pos="900"/>
                <w:tab w:val="left" w:pos="3131"/>
                <w:tab w:val="left" w:pos="5607"/>
                <w:tab w:val="left" w:pos="8082"/>
              </w:tabs>
              <w:ind w:left="-90" w:right="-25"/>
              <w:rPr>
                <w:b/>
              </w:rPr>
            </w:pPr>
            <w:r w:rsidRPr="007A7934">
              <w:rPr>
                <w:b/>
              </w:rPr>
              <w:t>Grading Policy</w:t>
            </w:r>
          </w:p>
        </w:tc>
        <w:tc>
          <w:tcPr>
            <w:tcW w:w="4230" w:type="dxa"/>
            <w:gridSpan w:val="2"/>
            <w:tcBorders>
              <w:top w:val="single" w:sz="4" w:space="0" w:color="auto"/>
              <w:bottom w:val="double" w:sz="4" w:space="0" w:color="auto"/>
            </w:tcBorders>
            <w:tcMar>
              <w:top w:w="144" w:type="dxa"/>
              <w:left w:w="144" w:type="dxa"/>
              <w:bottom w:w="144" w:type="dxa"/>
              <w:right w:w="144" w:type="dxa"/>
            </w:tcMar>
          </w:tcPr>
          <w:p w14:paraId="0BEF5044" w14:textId="7EDB53EA" w:rsidR="008D505F" w:rsidRDefault="008D505F" w:rsidP="00AE6A3C">
            <w:pPr>
              <w:spacing w:line="360" w:lineRule="auto"/>
              <w:rPr>
                <w:szCs w:val="22"/>
              </w:rPr>
            </w:pPr>
            <w:r>
              <w:rPr>
                <w:szCs w:val="22"/>
              </w:rPr>
              <w:t xml:space="preserve">Quizzes </w:t>
            </w:r>
            <w:r w:rsidR="00850928">
              <w:rPr>
                <w:szCs w:val="22"/>
              </w:rPr>
              <w:t xml:space="preserve">                                           </w:t>
            </w:r>
            <w:r w:rsidR="00E33F10">
              <w:rPr>
                <w:szCs w:val="22"/>
              </w:rPr>
              <w:t>15</w:t>
            </w:r>
            <w:r w:rsidRPr="00A4137D">
              <w:rPr>
                <w:szCs w:val="22"/>
              </w:rPr>
              <w:t xml:space="preserve">% </w:t>
            </w:r>
          </w:p>
          <w:p w14:paraId="61F59915" w14:textId="64572961" w:rsidR="00E33F10" w:rsidRDefault="00E33F10" w:rsidP="00AE6A3C">
            <w:pPr>
              <w:spacing w:line="360" w:lineRule="auto"/>
              <w:rPr>
                <w:szCs w:val="22"/>
              </w:rPr>
            </w:pPr>
            <w:r>
              <w:rPr>
                <w:szCs w:val="22"/>
              </w:rPr>
              <w:t>Presentation                                     05 %</w:t>
            </w:r>
          </w:p>
          <w:p w14:paraId="76E702C9" w14:textId="1801AABE" w:rsidR="00850928" w:rsidRPr="00A4137D" w:rsidRDefault="00850928" w:rsidP="00AE6A3C">
            <w:pPr>
              <w:spacing w:line="360" w:lineRule="auto"/>
              <w:rPr>
                <w:szCs w:val="22"/>
              </w:rPr>
            </w:pPr>
            <w:r w:rsidRPr="00A4137D">
              <w:rPr>
                <w:szCs w:val="22"/>
              </w:rPr>
              <w:t>Assignments</w:t>
            </w:r>
            <w:r>
              <w:rPr>
                <w:szCs w:val="22"/>
              </w:rPr>
              <w:t xml:space="preserve">                                    0</w:t>
            </w:r>
            <w:r w:rsidRPr="00A4137D">
              <w:rPr>
                <w:szCs w:val="22"/>
              </w:rPr>
              <w:t>5%</w:t>
            </w:r>
          </w:p>
          <w:p w14:paraId="1762E12B" w14:textId="130001AF" w:rsidR="008D505F" w:rsidRPr="00A4137D" w:rsidRDefault="008D505F" w:rsidP="00AE6A3C">
            <w:pPr>
              <w:spacing w:line="360" w:lineRule="auto"/>
              <w:rPr>
                <w:szCs w:val="22"/>
              </w:rPr>
            </w:pPr>
            <w:r w:rsidRPr="00A4137D">
              <w:rPr>
                <w:szCs w:val="22"/>
              </w:rPr>
              <w:t xml:space="preserve">Midterm Exam           </w:t>
            </w:r>
            <w:r>
              <w:rPr>
                <w:szCs w:val="22"/>
              </w:rPr>
              <w:t xml:space="preserve">                     </w:t>
            </w:r>
            <w:r w:rsidRPr="00A4137D">
              <w:rPr>
                <w:szCs w:val="22"/>
              </w:rPr>
              <w:t>25%</w:t>
            </w:r>
          </w:p>
          <w:p w14:paraId="4764E3BF" w14:textId="2EE0367C" w:rsidR="008D505F" w:rsidRPr="00A4137D" w:rsidRDefault="008D505F" w:rsidP="00AE6A3C">
            <w:pPr>
              <w:spacing w:line="360" w:lineRule="auto"/>
              <w:rPr>
                <w:szCs w:val="22"/>
              </w:rPr>
            </w:pPr>
            <w:r w:rsidRPr="00A4137D">
              <w:rPr>
                <w:szCs w:val="22"/>
              </w:rPr>
              <w:t xml:space="preserve">Final Exam:               </w:t>
            </w:r>
            <w:r>
              <w:rPr>
                <w:szCs w:val="22"/>
              </w:rPr>
              <w:t xml:space="preserve">                      </w:t>
            </w:r>
            <w:r w:rsidRPr="00A4137D">
              <w:rPr>
                <w:szCs w:val="22"/>
              </w:rPr>
              <w:t>50%</w:t>
            </w:r>
          </w:p>
        </w:tc>
        <w:tc>
          <w:tcPr>
            <w:tcW w:w="4500" w:type="dxa"/>
            <w:gridSpan w:val="2"/>
            <w:tcBorders>
              <w:top w:val="single" w:sz="4" w:space="0" w:color="auto"/>
              <w:bottom w:val="double" w:sz="4" w:space="0" w:color="auto"/>
            </w:tcBorders>
          </w:tcPr>
          <w:p w14:paraId="0481E7EA" w14:textId="77777777" w:rsidR="008D505F" w:rsidRDefault="008D505F" w:rsidP="008D505F">
            <w:pPr>
              <w:spacing w:line="276" w:lineRule="auto"/>
              <w:jc w:val="both"/>
              <w:rPr>
                <w:szCs w:val="22"/>
              </w:rPr>
            </w:pPr>
            <w:r w:rsidRPr="00A4137D">
              <w:rPr>
                <w:szCs w:val="22"/>
              </w:rPr>
              <w:t>All quizzes will be announced well before time.</w:t>
            </w:r>
          </w:p>
          <w:p w14:paraId="06AAA11A" w14:textId="77777777" w:rsidR="008D505F" w:rsidRPr="00A4137D" w:rsidRDefault="008D505F" w:rsidP="008D505F">
            <w:pPr>
              <w:spacing w:line="276" w:lineRule="auto"/>
              <w:jc w:val="both"/>
              <w:rPr>
                <w:sz w:val="22"/>
                <w:szCs w:val="22"/>
              </w:rPr>
            </w:pPr>
            <w:r w:rsidRPr="00A4137D">
              <w:rPr>
                <w:szCs w:val="22"/>
              </w:rPr>
              <w:t>No make-ups will be offered for missed quizzes.</w:t>
            </w:r>
          </w:p>
        </w:tc>
      </w:tr>
    </w:tbl>
    <w:p w14:paraId="1DEFE17F" w14:textId="77777777" w:rsidR="000E4DE7" w:rsidRDefault="00047AE8" w:rsidP="00FF3A1F">
      <w:pPr>
        <w:spacing w:before="360"/>
        <w:jc w:val="center"/>
        <w:rPr>
          <w:rFonts w:ascii="Calibri" w:hAnsi="Calibri"/>
          <w:b/>
        </w:rPr>
      </w:pPr>
      <w:r>
        <w:rPr>
          <w:rFonts w:ascii="Calibri" w:hAnsi="Calibri"/>
          <w:b/>
        </w:rPr>
        <w:br w:type="page"/>
      </w:r>
    </w:p>
    <w:p w14:paraId="27ECEDA9" w14:textId="77777777" w:rsidR="000E4DE7" w:rsidRDefault="000E4DE7" w:rsidP="00FF3A1F">
      <w:pPr>
        <w:spacing w:before="360"/>
        <w:jc w:val="center"/>
        <w:rPr>
          <w:rFonts w:ascii="Calibri" w:hAnsi="Calibri"/>
          <w:b/>
        </w:rPr>
      </w:pPr>
    </w:p>
    <w:p w14:paraId="3A1B763A" w14:textId="16AA8CEC" w:rsidR="00047AE8" w:rsidRPr="001B5F33" w:rsidRDefault="001B5F33" w:rsidP="00FF3A1F">
      <w:pPr>
        <w:spacing w:before="360"/>
        <w:jc w:val="center"/>
        <w:rPr>
          <w:rFonts w:ascii="Calibri" w:hAnsi="Calibri"/>
          <w:b/>
          <w:sz w:val="36"/>
          <w:szCs w:val="36"/>
        </w:rPr>
      </w:pPr>
      <w:bookmarkStart w:id="0" w:name="_GoBack"/>
      <w:bookmarkEnd w:id="0"/>
      <w:r w:rsidRPr="001B5F33">
        <w:rPr>
          <w:b/>
          <w:sz w:val="36"/>
          <w:szCs w:val="36"/>
        </w:rPr>
        <w:t>CH-</w:t>
      </w:r>
      <w:r w:rsidR="00E53214">
        <w:rPr>
          <w:b/>
          <w:sz w:val="36"/>
          <w:szCs w:val="36"/>
        </w:rPr>
        <w:t>31</w:t>
      </w:r>
      <w:r w:rsidR="00CC1CB1">
        <w:rPr>
          <w:b/>
          <w:sz w:val="36"/>
          <w:szCs w:val="36"/>
        </w:rPr>
        <w:t>1</w:t>
      </w:r>
      <w:r w:rsidR="002D700D">
        <w:rPr>
          <w:b/>
          <w:sz w:val="36"/>
          <w:szCs w:val="36"/>
        </w:rPr>
        <w:t xml:space="preserve"> (</w:t>
      </w:r>
      <w:r w:rsidR="00CC1CB1">
        <w:rPr>
          <w:b/>
          <w:sz w:val="36"/>
          <w:szCs w:val="36"/>
        </w:rPr>
        <w:t>INDUSTRIAL CHEMISTRY-</w:t>
      </w:r>
      <w:r w:rsidR="007069F2">
        <w:rPr>
          <w:b/>
          <w:sz w:val="36"/>
          <w:szCs w:val="36"/>
        </w:rPr>
        <w:t>I</w:t>
      </w:r>
      <w:r w:rsidRPr="001B5F33">
        <w:rPr>
          <w:b/>
          <w:sz w:val="36"/>
          <w:szCs w:val="36"/>
        </w:rPr>
        <w:t>)</w:t>
      </w:r>
    </w:p>
    <w:p w14:paraId="1326F017" w14:textId="77777777" w:rsidR="009A12CE" w:rsidRPr="006D0990" w:rsidRDefault="009A12CE" w:rsidP="00E56AEA">
      <w:pPr>
        <w:tabs>
          <w:tab w:val="left" w:pos="578"/>
          <w:tab w:val="left" w:pos="3131"/>
          <w:tab w:val="left" w:pos="5607"/>
          <w:tab w:val="left" w:pos="8082"/>
          <w:tab w:val="left" w:pos="9611"/>
        </w:tabs>
        <w:rPr>
          <w:rFonts w:ascii="Calibri" w:hAnsi="Calibri"/>
          <w:b/>
        </w:rPr>
      </w:pP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200"/>
        <w:gridCol w:w="7654"/>
        <w:gridCol w:w="1046"/>
      </w:tblGrid>
      <w:tr w:rsidR="00047F7E" w14:paraId="262248F2" w14:textId="77777777" w:rsidTr="00850928">
        <w:trPr>
          <w:trHeight w:val="720"/>
        </w:trPr>
        <w:tc>
          <w:tcPr>
            <w:tcW w:w="810" w:type="dxa"/>
            <w:vAlign w:val="center"/>
          </w:tcPr>
          <w:p w14:paraId="57D54CC4" w14:textId="77777777" w:rsidR="00047F7E" w:rsidRPr="003D4FBF" w:rsidRDefault="00047F7E" w:rsidP="00FE5334">
            <w:pPr>
              <w:spacing w:before="60" w:after="60"/>
              <w:jc w:val="center"/>
              <w:rPr>
                <w:b/>
              </w:rPr>
            </w:pPr>
            <w:r w:rsidRPr="003D4FBF">
              <w:rPr>
                <w:b/>
              </w:rPr>
              <w:t>Week</w:t>
            </w:r>
          </w:p>
        </w:tc>
        <w:tc>
          <w:tcPr>
            <w:tcW w:w="1200" w:type="dxa"/>
            <w:vAlign w:val="center"/>
          </w:tcPr>
          <w:p w14:paraId="2CEECDB3" w14:textId="77777777" w:rsidR="00047F7E" w:rsidRPr="003D4FBF" w:rsidRDefault="00047F7E" w:rsidP="00FE5334">
            <w:pPr>
              <w:spacing w:before="60" w:after="60"/>
              <w:jc w:val="center"/>
              <w:rPr>
                <w:b/>
              </w:rPr>
            </w:pPr>
            <w:r w:rsidRPr="003D4FBF">
              <w:rPr>
                <w:b/>
              </w:rPr>
              <w:t>Lecture</w:t>
            </w:r>
            <w:r>
              <w:rPr>
                <w:b/>
              </w:rPr>
              <w:t>s</w:t>
            </w:r>
          </w:p>
        </w:tc>
        <w:tc>
          <w:tcPr>
            <w:tcW w:w="7654" w:type="dxa"/>
            <w:vAlign w:val="center"/>
          </w:tcPr>
          <w:p w14:paraId="60562557" w14:textId="77777777" w:rsidR="00047F7E" w:rsidRPr="003D4FBF" w:rsidRDefault="00047F7E" w:rsidP="00FE5334">
            <w:pPr>
              <w:spacing w:before="60" w:after="60"/>
              <w:jc w:val="center"/>
              <w:rPr>
                <w:b/>
              </w:rPr>
            </w:pPr>
            <w:r w:rsidRPr="003D4FBF">
              <w:rPr>
                <w:b/>
              </w:rPr>
              <w:t>TOPICS</w:t>
            </w:r>
          </w:p>
        </w:tc>
        <w:tc>
          <w:tcPr>
            <w:tcW w:w="1046" w:type="dxa"/>
            <w:vAlign w:val="center"/>
          </w:tcPr>
          <w:p w14:paraId="63E36839" w14:textId="77777777" w:rsidR="00047F7E" w:rsidRDefault="00047F7E" w:rsidP="00FE5334">
            <w:pPr>
              <w:spacing w:before="60" w:after="60"/>
              <w:jc w:val="center"/>
              <w:rPr>
                <w:b/>
              </w:rPr>
            </w:pPr>
            <w:r>
              <w:rPr>
                <w:b/>
              </w:rPr>
              <w:t>CH</w:t>
            </w:r>
          </w:p>
        </w:tc>
      </w:tr>
      <w:tr w:rsidR="00047F7E" w:rsidRPr="009F126E" w14:paraId="353EDE87" w14:textId="77777777" w:rsidTr="00850928">
        <w:trPr>
          <w:trHeight w:val="20"/>
        </w:trPr>
        <w:tc>
          <w:tcPr>
            <w:tcW w:w="810" w:type="dxa"/>
            <w:vAlign w:val="center"/>
          </w:tcPr>
          <w:p w14:paraId="0C553785" w14:textId="77777777" w:rsidR="00047F7E" w:rsidRPr="009F126E" w:rsidRDefault="00047F7E" w:rsidP="00845A13">
            <w:pPr>
              <w:spacing w:before="60" w:after="60" w:line="276" w:lineRule="auto"/>
              <w:jc w:val="center"/>
            </w:pPr>
            <w:r w:rsidRPr="009F126E">
              <w:t>1</w:t>
            </w:r>
          </w:p>
        </w:tc>
        <w:tc>
          <w:tcPr>
            <w:tcW w:w="1200" w:type="dxa"/>
          </w:tcPr>
          <w:p w14:paraId="3C3FA75C" w14:textId="77777777" w:rsidR="00047F7E" w:rsidRPr="009F126E" w:rsidRDefault="00047F7E" w:rsidP="00845A13">
            <w:pPr>
              <w:spacing w:before="60" w:after="60" w:line="276" w:lineRule="auto"/>
              <w:jc w:val="center"/>
            </w:pPr>
            <w:r w:rsidRPr="009F126E">
              <w:t>1</w:t>
            </w:r>
          </w:p>
          <w:p w14:paraId="7104372E" w14:textId="77777777" w:rsidR="00047F7E" w:rsidRPr="009F126E" w:rsidRDefault="00047F7E" w:rsidP="00845A13">
            <w:pPr>
              <w:spacing w:before="60" w:after="60" w:line="276" w:lineRule="auto"/>
              <w:jc w:val="center"/>
            </w:pPr>
            <w:r w:rsidRPr="009F126E">
              <w:t>2</w:t>
            </w:r>
          </w:p>
        </w:tc>
        <w:tc>
          <w:tcPr>
            <w:tcW w:w="7654" w:type="dxa"/>
          </w:tcPr>
          <w:p w14:paraId="49C5D9D8" w14:textId="77777777" w:rsidR="00047F7E" w:rsidRDefault="00047F7E" w:rsidP="004766BC">
            <w:pPr>
              <w:spacing w:before="60" w:after="60" w:line="276" w:lineRule="auto"/>
              <w:jc w:val="both"/>
            </w:pPr>
            <w:r>
              <w:t xml:space="preserve">Chemical Process Industry, Development and Characteristics of Industry. </w:t>
            </w:r>
          </w:p>
          <w:p w14:paraId="4643104E" w14:textId="77777777" w:rsidR="00047F7E" w:rsidRPr="009F126E" w:rsidRDefault="00047F7E" w:rsidP="00567C63">
            <w:pPr>
              <w:spacing w:before="60" w:after="60" w:line="276" w:lineRule="auto"/>
              <w:jc w:val="both"/>
            </w:pPr>
            <w:r>
              <w:t>Raw Material, Manufacturing and Environmental Aspects of Industry.</w:t>
            </w:r>
          </w:p>
        </w:tc>
        <w:tc>
          <w:tcPr>
            <w:tcW w:w="1046" w:type="dxa"/>
            <w:vAlign w:val="center"/>
          </w:tcPr>
          <w:p w14:paraId="15D55C33" w14:textId="77777777" w:rsidR="00047F7E" w:rsidRPr="004766BC" w:rsidRDefault="00047F7E" w:rsidP="004766BC">
            <w:pPr>
              <w:spacing w:before="60" w:after="60" w:line="276" w:lineRule="auto"/>
              <w:jc w:val="center"/>
            </w:pPr>
            <w:r w:rsidRPr="004766BC">
              <w:t>1</w:t>
            </w:r>
          </w:p>
        </w:tc>
      </w:tr>
      <w:tr w:rsidR="00047F7E" w:rsidRPr="009F126E" w14:paraId="316BB306" w14:textId="77777777" w:rsidTr="00850928">
        <w:trPr>
          <w:trHeight w:val="20"/>
        </w:trPr>
        <w:tc>
          <w:tcPr>
            <w:tcW w:w="810" w:type="dxa"/>
            <w:vAlign w:val="center"/>
          </w:tcPr>
          <w:p w14:paraId="47EBBE41" w14:textId="77777777" w:rsidR="00047F7E" w:rsidRPr="009F126E" w:rsidRDefault="00047F7E" w:rsidP="00845A13">
            <w:pPr>
              <w:spacing w:before="60" w:after="60" w:line="276" w:lineRule="auto"/>
              <w:jc w:val="center"/>
            </w:pPr>
            <w:r w:rsidRPr="009F126E">
              <w:t>2</w:t>
            </w:r>
          </w:p>
        </w:tc>
        <w:tc>
          <w:tcPr>
            <w:tcW w:w="1200" w:type="dxa"/>
          </w:tcPr>
          <w:p w14:paraId="39EE9BF4" w14:textId="77777777" w:rsidR="00047F7E" w:rsidRPr="009F126E" w:rsidRDefault="00047F7E" w:rsidP="00845A13">
            <w:pPr>
              <w:spacing w:before="60" w:after="60" w:line="276" w:lineRule="auto"/>
              <w:jc w:val="center"/>
            </w:pPr>
            <w:r w:rsidRPr="009F126E">
              <w:t>1</w:t>
            </w:r>
          </w:p>
          <w:p w14:paraId="11E1BF67" w14:textId="77777777" w:rsidR="00047F7E" w:rsidRPr="009F126E" w:rsidRDefault="00047F7E" w:rsidP="00845A13">
            <w:pPr>
              <w:spacing w:before="60" w:after="60" w:line="276" w:lineRule="auto"/>
              <w:jc w:val="center"/>
            </w:pPr>
            <w:r w:rsidRPr="009F126E">
              <w:t>2</w:t>
            </w:r>
          </w:p>
        </w:tc>
        <w:tc>
          <w:tcPr>
            <w:tcW w:w="7654" w:type="dxa"/>
          </w:tcPr>
          <w:p w14:paraId="1C788B24" w14:textId="77777777" w:rsidR="00047F7E" w:rsidRPr="009F126E" w:rsidRDefault="00047F7E" w:rsidP="005F6C31">
            <w:pPr>
              <w:spacing w:before="60" w:after="60" w:line="276" w:lineRule="auto"/>
              <w:jc w:val="both"/>
            </w:pPr>
            <w:r>
              <w:t xml:space="preserve">Safety Considerations in Process Industries, Types of Industrial Hazards Introduction of OSHA. Hazard Analysis and Risk Assessment (HARA).   </w:t>
            </w:r>
          </w:p>
        </w:tc>
        <w:tc>
          <w:tcPr>
            <w:tcW w:w="1046" w:type="dxa"/>
            <w:vAlign w:val="center"/>
          </w:tcPr>
          <w:p w14:paraId="577EAACF" w14:textId="77777777" w:rsidR="00047F7E" w:rsidRDefault="00047F7E" w:rsidP="0006400E">
            <w:pPr>
              <w:spacing w:before="60" w:after="60" w:line="276" w:lineRule="auto"/>
              <w:jc w:val="center"/>
            </w:pPr>
            <w:r>
              <w:t>2</w:t>
            </w:r>
          </w:p>
        </w:tc>
      </w:tr>
      <w:tr w:rsidR="00047F7E" w:rsidRPr="009F126E" w14:paraId="1C2896C6" w14:textId="77777777" w:rsidTr="00850928">
        <w:trPr>
          <w:trHeight w:val="20"/>
        </w:trPr>
        <w:tc>
          <w:tcPr>
            <w:tcW w:w="810" w:type="dxa"/>
            <w:vAlign w:val="center"/>
          </w:tcPr>
          <w:p w14:paraId="0BBFAF45" w14:textId="77777777" w:rsidR="00047F7E" w:rsidRPr="009F126E" w:rsidRDefault="00047F7E" w:rsidP="00845A13">
            <w:pPr>
              <w:spacing w:before="60" w:after="60" w:line="276" w:lineRule="auto"/>
              <w:jc w:val="center"/>
            </w:pPr>
            <w:r w:rsidRPr="009F126E">
              <w:t>3</w:t>
            </w:r>
          </w:p>
        </w:tc>
        <w:tc>
          <w:tcPr>
            <w:tcW w:w="1200" w:type="dxa"/>
          </w:tcPr>
          <w:p w14:paraId="53B3A57C" w14:textId="77777777" w:rsidR="00047F7E" w:rsidRPr="009F126E" w:rsidRDefault="00047F7E" w:rsidP="00845A13">
            <w:pPr>
              <w:spacing w:before="60" w:after="60" w:line="276" w:lineRule="auto"/>
              <w:jc w:val="center"/>
            </w:pPr>
            <w:r w:rsidRPr="009F126E">
              <w:t>1</w:t>
            </w:r>
          </w:p>
          <w:p w14:paraId="2DE06176" w14:textId="77777777" w:rsidR="00047F7E" w:rsidRPr="009F126E" w:rsidRDefault="00047F7E" w:rsidP="00845A13">
            <w:pPr>
              <w:spacing w:before="60" w:after="60" w:line="276" w:lineRule="auto"/>
              <w:jc w:val="center"/>
            </w:pPr>
            <w:r w:rsidRPr="009F126E">
              <w:t>2</w:t>
            </w:r>
          </w:p>
        </w:tc>
        <w:tc>
          <w:tcPr>
            <w:tcW w:w="7654" w:type="dxa"/>
          </w:tcPr>
          <w:p w14:paraId="1407B66D" w14:textId="77777777" w:rsidR="00047F7E" w:rsidRDefault="00047F7E" w:rsidP="00567C63">
            <w:pPr>
              <w:spacing w:before="60" w:after="60" w:line="276" w:lineRule="auto"/>
              <w:jc w:val="both"/>
            </w:pPr>
            <w:r>
              <w:t>Heat &amp; Temperature, Pressure Hazards, Electrical &amp; Mechanical Hazards.</w:t>
            </w:r>
          </w:p>
          <w:p w14:paraId="06EE1CD0" w14:textId="77777777" w:rsidR="00047F7E" w:rsidRPr="009F126E" w:rsidRDefault="00047F7E" w:rsidP="001C2B12">
            <w:pPr>
              <w:spacing w:before="60" w:after="60" w:line="276" w:lineRule="auto"/>
              <w:jc w:val="both"/>
            </w:pPr>
            <w:r>
              <w:t xml:space="preserve">Toxic Materials, Fire &amp; Explosion, Accelerator, Confined Space, Radiation     </w:t>
            </w:r>
          </w:p>
        </w:tc>
        <w:tc>
          <w:tcPr>
            <w:tcW w:w="1046" w:type="dxa"/>
            <w:vAlign w:val="center"/>
          </w:tcPr>
          <w:p w14:paraId="77D4074A" w14:textId="77777777" w:rsidR="00047F7E" w:rsidRDefault="00047F7E" w:rsidP="001C2B12">
            <w:pPr>
              <w:spacing w:before="60" w:after="60" w:line="276" w:lineRule="auto"/>
              <w:jc w:val="center"/>
            </w:pPr>
            <w:r>
              <w:t>2</w:t>
            </w:r>
          </w:p>
        </w:tc>
      </w:tr>
      <w:tr w:rsidR="00047F7E" w:rsidRPr="009F126E" w14:paraId="7E0E23B0" w14:textId="77777777" w:rsidTr="00850928">
        <w:trPr>
          <w:trHeight w:val="20"/>
        </w:trPr>
        <w:tc>
          <w:tcPr>
            <w:tcW w:w="810" w:type="dxa"/>
            <w:vAlign w:val="center"/>
          </w:tcPr>
          <w:p w14:paraId="5C2CEB31" w14:textId="77777777" w:rsidR="00047F7E" w:rsidRPr="009F126E" w:rsidRDefault="00047F7E" w:rsidP="00845A13">
            <w:pPr>
              <w:spacing w:before="60" w:after="60" w:line="276" w:lineRule="auto"/>
              <w:jc w:val="center"/>
            </w:pPr>
            <w:r w:rsidRPr="009F126E">
              <w:t>4</w:t>
            </w:r>
          </w:p>
        </w:tc>
        <w:tc>
          <w:tcPr>
            <w:tcW w:w="1200" w:type="dxa"/>
          </w:tcPr>
          <w:p w14:paraId="424798A8" w14:textId="77777777" w:rsidR="00047F7E" w:rsidRPr="009F126E" w:rsidRDefault="00047F7E" w:rsidP="00845A13">
            <w:pPr>
              <w:spacing w:before="60" w:after="60" w:line="276" w:lineRule="auto"/>
              <w:jc w:val="center"/>
            </w:pPr>
            <w:r w:rsidRPr="009F126E">
              <w:t>1</w:t>
            </w:r>
          </w:p>
          <w:p w14:paraId="4FB84769" w14:textId="77777777" w:rsidR="00047F7E" w:rsidRPr="009F126E" w:rsidRDefault="00047F7E" w:rsidP="00845A13">
            <w:pPr>
              <w:spacing w:before="60" w:after="60" w:line="276" w:lineRule="auto"/>
              <w:jc w:val="center"/>
            </w:pPr>
            <w:r w:rsidRPr="009F126E">
              <w:t>2</w:t>
            </w:r>
          </w:p>
        </w:tc>
        <w:tc>
          <w:tcPr>
            <w:tcW w:w="7654" w:type="dxa"/>
          </w:tcPr>
          <w:p w14:paraId="6B9873F0" w14:textId="77777777" w:rsidR="00047F7E" w:rsidRDefault="00047F7E" w:rsidP="001079B9">
            <w:pPr>
              <w:spacing w:before="60" w:after="60" w:line="276" w:lineRule="auto"/>
              <w:jc w:val="both"/>
            </w:pPr>
            <w:r>
              <w:t xml:space="preserve">Industrial Pollution Prevention, Industrial Waste, Types of Industrial Waste </w:t>
            </w:r>
          </w:p>
          <w:p w14:paraId="52A4B480" w14:textId="77777777" w:rsidR="00047F7E" w:rsidRPr="00A72CE5" w:rsidRDefault="00047F7E" w:rsidP="001079B9">
            <w:pPr>
              <w:spacing w:before="60" w:after="60" w:line="276" w:lineRule="auto"/>
              <w:jc w:val="both"/>
              <w:rPr>
                <w:sz w:val="23"/>
                <w:szCs w:val="23"/>
              </w:rPr>
            </w:pPr>
            <w:r>
              <w:t>Waste Management Process, Concept of Recycling of Industrial Waste</w:t>
            </w:r>
          </w:p>
        </w:tc>
        <w:tc>
          <w:tcPr>
            <w:tcW w:w="1046" w:type="dxa"/>
            <w:vAlign w:val="center"/>
          </w:tcPr>
          <w:p w14:paraId="13AD6526" w14:textId="77777777" w:rsidR="00047F7E" w:rsidRDefault="00F94D45" w:rsidP="001079B9">
            <w:pPr>
              <w:spacing w:before="60" w:after="60" w:line="276" w:lineRule="auto"/>
              <w:jc w:val="center"/>
            </w:pPr>
            <w:r>
              <w:t>3</w:t>
            </w:r>
          </w:p>
        </w:tc>
      </w:tr>
      <w:tr w:rsidR="00047F7E" w:rsidRPr="009F126E" w14:paraId="4971A29E" w14:textId="77777777" w:rsidTr="00850928">
        <w:trPr>
          <w:trHeight w:val="20"/>
        </w:trPr>
        <w:tc>
          <w:tcPr>
            <w:tcW w:w="810" w:type="dxa"/>
            <w:vAlign w:val="center"/>
          </w:tcPr>
          <w:p w14:paraId="7F7C22AD" w14:textId="77777777" w:rsidR="00047F7E" w:rsidRPr="009F126E" w:rsidRDefault="00047F7E" w:rsidP="00845A13">
            <w:pPr>
              <w:spacing w:before="60" w:after="60" w:line="276" w:lineRule="auto"/>
              <w:jc w:val="center"/>
            </w:pPr>
            <w:r w:rsidRPr="009F126E">
              <w:t>5</w:t>
            </w:r>
          </w:p>
        </w:tc>
        <w:tc>
          <w:tcPr>
            <w:tcW w:w="1200" w:type="dxa"/>
          </w:tcPr>
          <w:p w14:paraId="584B3DE8" w14:textId="77777777" w:rsidR="00047F7E" w:rsidRPr="009F126E" w:rsidRDefault="00047F7E" w:rsidP="00845A13">
            <w:pPr>
              <w:spacing w:before="60" w:after="60" w:line="276" w:lineRule="auto"/>
              <w:jc w:val="center"/>
            </w:pPr>
            <w:r w:rsidRPr="009F126E">
              <w:t>1</w:t>
            </w:r>
          </w:p>
          <w:p w14:paraId="5992DF3F" w14:textId="77777777" w:rsidR="00047F7E" w:rsidRPr="009F126E" w:rsidRDefault="00047F7E" w:rsidP="00845A13">
            <w:pPr>
              <w:spacing w:before="60" w:after="60" w:line="276" w:lineRule="auto"/>
              <w:jc w:val="center"/>
            </w:pPr>
            <w:r w:rsidRPr="009F126E">
              <w:t>2</w:t>
            </w:r>
          </w:p>
        </w:tc>
        <w:tc>
          <w:tcPr>
            <w:tcW w:w="7654" w:type="dxa"/>
          </w:tcPr>
          <w:p w14:paraId="728B584A" w14:textId="77777777" w:rsidR="00047F7E" w:rsidRDefault="00047F7E" w:rsidP="005C2E1D">
            <w:pPr>
              <w:spacing w:before="60" w:after="60" w:line="276" w:lineRule="auto"/>
              <w:jc w:val="both"/>
            </w:pPr>
            <w:r>
              <w:t xml:space="preserve">Physical, Chemical &amp; Biological Waste Treatment Processes , Incineration </w:t>
            </w:r>
          </w:p>
          <w:p w14:paraId="66C6F801" w14:textId="77777777" w:rsidR="00047F7E" w:rsidRPr="009F126E" w:rsidRDefault="00047F7E" w:rsidP="005C2E1D">
            <w:pPr>
              <w:spacing w:before="60" w:after="60" w:line="276" w:lineRule="auto"/>
              <w:jc w:val="both"/>
            </w:pPr>
            <w:r>
              <w:t xml:space="preserve">Introduction of Edible Oils, Fats and Waxes, </w:t>
            </w:r>
            <w:r w:rsidRPr="00F779D4">
              <w:rPr>
                <w:sz w:val="23"/>
                <w:szCs w:val="23"/>
              </w:rPr>
              <w:t>Fatty Acids</w:t>
            </w:r>
            <w:r>
              <w:t xml:space="preserve">  and </w:t>
            </w:r>
            <w:r w:rsidRPr="00F779D4">
              <w:rPr>
                <w:sz w:val="23"/>
                <w:szCs w:val="23"/>
              </w:rPr>
              <w:t>Glycerides</w:t>
            </w:r>
          </w:p>
        </w:tc>
        <w:tc>
          <w:tcPr>
            <w:tcW w:w="1046" w:type="dxa"/>
          </w:tcPr>
          <w:p w14:paraId="7A253891" w14:textId="77777777" w:rsidR="00047F7E" w:rsidRDefault="00047F7E" w:rsidP="00845A13">
            <w:pPr>
              <w:spacing w:before="60" w:after="60" w:line="276" w:lineRule="auto"/>
              <w:jc w:val="center"/>
              <w:rPr>
                <w:color w:val="000000"/>
                <w:w w:val="102"/>
              </w:rPr>
            </w:pPr>
            <w:r>
              <w:rPr>
                <w:color w:val="000000"/>
                <w:w w:val="102"/>
              </w:rPr>
              <w:t>3</w:t>
            </w:r>
          </w:p>
          <w:p w14:paraId="00F81CB3" w14:textId="77777777" w:rsidR="00047F7E" w:rsidRDefault="00047F7E" w:rsidP="005C2E1D">
            <w:pPr>
              <w:spacing w:before="60" w:after="60" w:line="276" w:lineRule="auto"/>
              <w:jc w:val="center"/>
              <w:rPr>
                <w:color w:val="000000"/>
                <w:w w:val="102"/>
              </w:rPr>
            </w:pPr>
            <w:r>
              <w:rPr>
                <w:color w:val="000000"/>
                <w:w w:val="102"/>
              </w:rPr>
              <w:t>4</w:t>
            </w:r>
          </w:p>
        </w:tc>
      </w:tr>
      <w:tr w:rsidR="00047F7E" w:rsidRPr="009F126E" w14:paraId="7BFC6A1F" w14:textId="77777777" w:rsidTr="00850928">
        <w:trPr>
          <w:trHeight w:val="20"/>
        </w:trPr>
        <w:tc>
          <w:tcPr>
            <w:tcW w:w="810" w:type="dxa"/>
            <w:vAlign w:val="center"/>
          </w:tcPr>
          <w:p w14:paraId="27786BF5" w14:textId="77777777" w:rsidR="00047F7E" w:rsidRPr="009F126E" w:rsidRDefault="00047F7E" w:rsidP="00845A13">
            <w:pPr>
              <w:spacing w:before="60" w:after="60" w:line="276" w:lineRule="auto"/>
              <w:jc w:val="center"/>
            </w:pPr>
            <w:r w:rsidRPr="009F126E">
              <w:t>6</w:t>
            </w:r>
          </w:p>
        </w:tc>
        <w:tc>
          <w:tcPr>
            <w:tcW w:w="1200" w:type="dxa"/>
          </w:tcPr>
          <w:p w14:paraId="51D24BCD" w14:textId="77777777" w:rsidR="00047F7E" w:rsidRPr="009F126E" w:rsidRDefault="00047F7E" w:rsidP="00845A13">
            <w:pPr>
              <w:spacing w:before="60" w:after="60" w:line="276" w:lineRule="auto"/>
              <w:jc w:val="center"/>
            </w:pPr>
            <w:r w:rsidRPr="009F126E">
              <w:t>1</w:t>
            </w:r>
          </w:p>
          <w:p w14:paraId="0BB2E15A" w14:textId="77777777" w:rsidR="00047F7E" w:rsidRPr="009F126E" w:rsidRDefault="00047F7E" w:rsidP="00845A13">
            <w:pPr>
              <w:spacing w:before="60" w:after="60" w:line="276" w:lineRule="auto"/>
              <w:jc w:val="center"/>
            </w:pPr>
            <w:r w:rsidRPr="009F126E">
              <w:t>2</w:t>
            </w:r>
          </w:p>
        </w:tc>
        <w:tc>
          <w:tcPr>
            <w:tcW w:w="7654" w:type="dxa"/>
          </w:tcPr>
          <w:p w14:paraId="687BE00E" w14:textId="77777777" w:rsidR="00047F7E" w:rsidRDefault="00047F7E" w:rsidP="005C2E1D">
            <w:pPr>
              <w:spacing w:before="60" w:after="60" w:line="276" w:lineRule="auto"/>
              <w:jc w:val="both"/>
              <w:rPr>
                <w:sz w:val="23"/>
                <w:szCs w:val="23"/>
              </w:rPr>
            </w:pPr>
            <w:r>
              <w:t xml:space="preserve">Physical and Chemical Properties of Triglycerides, </w:t>
            </w:r>
            <w:r>
              <w:rPr>
                <w:sz w:val="23"/>
                <w:szCs w:val="23"/>
              </w:rPr>
              <w:t>Fats and oil stability</w:t>
            </w:r>
          </w:p>
          <w:p w14:paraId="734F7949" w14:textId="77777777" w:rsidR="00047F7E" w:rsidRPr="009F126E" w:rsidRDefault="00047F7E" w:rsidP="005C2E1D">
            <w:pPr>
              <w:spacing w:before="60" w:after="60" w:line="276" w:lineRule="auto"/>
              <w:jc w:val="both"/>
            </w:pPr>
            <w:r>
              <w:t xml:space="preserve">Sources of oils Processing or </w:t>
            </w:r>
            <w:r>
              <w:rPr>
                <w:sz w:val="23"/>
                <w:szCs w:val="23"/>
              </w:rPr>
              <w:t>Refining</w:t>
            </w:r>
            <w:r>
              <w:t xml:space="preserve"> of oils and fats</w:t>
            </w:r>
            <w:r>
              <w:rPr>
                <w:sz w:val="23"/>
                <w:szCs w:val="23"/>
              </w:rPr>
              <w:t xml:space="preserve">, , Methods of analysis, </w:t>
            </w:r>
          </w:p>
        </w:tc>
        <w:tc>
          <w:tcPr>
            <w:tcW w:w="1046" w:type="dxa"/>
            <w:vAlign w:val="center"/>
          </w:tcPr>
          <w:p w14:paraId="4AECDD8E" w14:textId="77777777" w:rsidR="00047F7E" w:rsidRDefault="00F94D45" w:rsidP="00C1770C">
            <w:pPr>
              <w:spacing w:before="60" w:after="60" w:line="276" w:lineRule="auto"/>
              <w:jc w:val="center"/>
            </w:pPr>
            <w:r>
              <w:rPr>
                <w:color w:val="000000"/>
                <w:w w:val="102"/>
              </w:rPr>
              <w:t>4</w:t>
            </w:r>
          </w:p>
        </w:tc>
      </w:tr>
      <w:tr w:rsidR="00047F7E" w:rsidRPr="009F126E" w14:paraId="2581AB03" w14:textId="77777777" w:rsidTr="00850928">
        <w:trPr>
          <w:trHeight w:val="20"/>
        </w:trPr>
        <w:tc>
          <w:tcPr>
            <w:tcW w:w="810" w:type="dxa"/>
            <w:vAlign w:val="center"/>
          </w:tcPr>
          <w:p w14:paraId="1D8029CA" w14:textId="77777777" w:rsidR="00047F7E" w:rsidRPr="009F126E" w:rsidRDefault="00047F7E" w:rsidP="00845A13">
            <w:pPr>
              <w:spacing w:before="60" w:after="60" w:line="276" w:lineRule="auto"/>
              <w:jc w:val="center"/>
            </w:pPr>
            <w:r w:rsidRPr="009F126E">
              <w:t>7</w:t>
            </w:r>
          </w:p>
        </w:tc>
        <w:tc>
          <w:tcPr>
            <w:tcW w:w="1200" w:type="dxa"/>
          </w:tcPr>
          <w:p w14:paraId="58CFEE0B" w14:textId="77777777" w:rsidR="00047F7E" w:rsidRPr="009F126E" w:rsidRDefault="00047F7E" w:rsidP="00845A13">
            <w:pPr>
              <w:spacing w:before="60" w:after="60" w:line="276" w:lineRule="auto"/>
              <w:jc w:val="center"/>
            </w:pPr>
            <w:r w:rsidRPr="009F126E">
              <w:t>1</w:t>
            </w:r>
          </w:p>
          <w:p w14:paraId="3BEBF6A9" w14:textId="77777777" w:rsidR="00047F7E" w:rsidRPr="009F126E" w:rsidRDefault="00047F7E" w:rsidP="00845A13">
            <w:pPr>
              <w:spacing w:before="60" w:after="60" w:line="276" w:lineRule="auto"/>
              <w:jc w:val="center"/>
            </w:pPr>
            <w:r w:rsidRPr="009F126E">
              <w:t>2</w:t>
            </w:r>
          </w:p>
        </w:tc>
        <w:tc>
          <w:tcPr>
            <w:tcW w:w="7654" w:type="dxa"/>
          </w:tcPr>
          <w:p w14:paraId="666282FD" w14:textId="77777777" w:rsidR="00047F7E" w:rsidRPr="009F126E" w:rsidRDefault="00047F7E" w:rsidP="005F6C31">
            <w:pPr>
              <w:spacing w:before="60" w:after="60" w:line="276" w:lineRule="auto"/>
              <w:jc w:val="both"/>
            </w:pPr>
            <w:r>
              <w:t xml:space="preserve">Raw material, Chemistry, Types &amp; Manufacturing of different types Soaps Manufacture and Types of Detergents, Surfactants, Inorganic Builders   </w:t>
            </w:r>
          </w:p>
        </w:tc>
        <w:tc>
          <w:tcPr>
            <w:tcW w:w="1046" w:type="dxa"/>
            <w:vAlign w:val="center"/>
          </w:tcPr>
          <w:p w14:paraId="6C481CB1" w14:textId="77777777" w:rsidR="00047F7E" w:rsidRDefault="00F94D45" w:rsidP="001079B9">
            <w:pPr>
              <w:spacing w:before="60" w:after="60" w:line="276" w:lineRule="auto"/>
              <w:jc w:val="center"/>
            </w:pPr>
            <w:r>
              <w:rPr>
                <w:color w:val="000000"/>
                <w:w w:val="102"/>
              </w:rPr>
              <w:t>5</w:t>
            </w:r>
          </w:p>
        </w:tc>
      </w:tr>
      <w:tr w:rsidR="00047F7E" w:rsidRPr="009F126E" w14:paraId="7A6F1AB5" w14:textId="77777777" w:rsidTr="00850928">
        <w:trPr>
          <w:trHeight w:val="20"/>
        </w:trPr>
        <w:tc>
          <w:tcPr>
            <w:tcW w:w="810" w:type="dxa"/>
            <w:vAlign w:val="center"/>
          </w:tcPr>
          <w:p w14:paraId="7A8A5D8A" w14:textId="77777777" w:rsidR="00047F7E" w:rsidRPr="009F126E" w:rsidRDefault="00047F7E" w:rsidP="00845A13">
            <w:pPr>
              <w:spacing w:before="60" w:after="60" w:line="276" w:lineRule="auto"/>
              <w:jc w:val="center"/>
            </w:pPr>
            <w:r w:rsidRPr="009F126E">
              <w:t>8</w:t>
            </w:r>
          </w:p>
        </w:tc>
        <w:tc>
          <w:tcPr>
            <w:tcW w:w="1200" w:type="dxa"/>
          </w:tcPr>
          <w:p w14:paraId="293373F7" w14:textId="77777777" w:rsidR="00047F7E" w:rsidRPr="009F126E" w:rsidRDefault="00047F7E" w:rsidP="00845A13">
            <w:pPr>
              <w:spacing w:before="60" w:after="60" w:line="276" w:lineRule="auto"/>
              <w:jc w:val="center"/>
            </w:pPr>
            <w:r w:rsidRPr="009F126E">
              <w:t>1</w:t>
            </w:r>
          </w:p>
          <w:p w14:paraId="35F495E2" w14:textId="77777777" w:rsidR="00047F7E" w:rsidRPr="009F126E" w:rsidRDefault="00047F7E" w:rsidP="00845A13">
            <w:pPr>
              <w:spacing w:before="60" w:after="60" w:line="276" w:lineRule="auto"/>
              <w:jc w:val="center"/>
            </w:pPr>
            <w:r w:rsidRPr="009F126E">
              <w:t>2</w:t>
            </w:r>
          </w:p>
        </w:tc>
        <w:tc>
          <w:tcPr>
            <w:tcW w:w="7654" w:type="dxa"/>
          </w:tcPr>
          <w:p w14:paraId="0326E010" w14:textId="77777777" w:rsidR="00047F7E" w:rsidRPr="009F126E" w:rsidRDefault="00047F7E" w:rsidP="005F6C31">
            <w:pPr>
              <w:spacing w:before="60" w:after="60" w:line="276" w:lineRule="auto"/>
              <w:jc w:val="both"/>
            </w:pPr>
            <w:r>
              <w:t xml:space="preserve">Organic Builders, </w:t>
            </w:r>
            <w:r w:rsidRPr="005F6C31">
              <w:t>Additives</w:t>
            </w:r>
            <w:r>
              <w:t xml:space="preserve"> </w:t>
            </w:r>
            <w:r w:rsidRPr="005F6C31">
              <w:t>Emissions and Controls</w:t>
            </w:r>
            <w:r>
              <w:t xml:space="preserve">, </w:t>
            </w:r>
            <w:r w:rsidRPr="005F6C31">
              <w:t>Wastewater and the Environment</w:t>
            </w:r>
            <w:r>
              <w:t xml:space="preserve">, </w:t>
            </w:r>
            <w:r w:rsidRPr="005F6C31">
              <w:t xml:space="preserve">Biodegradation Environmental </w:t>
            </w:r>
            <w:r>
              <w:t xml:space="preserve">and Economic </w:t>
            </w:r>
            <w:r w:rsidRPr="005F6C31">
              <w:t>Aspects</w:t>
            </w:r>
          </w:p>
        </w:tc>
        <w:tc>
          <w:tcPr>
            <w:tcW w:w="1046" w:type="dxa"/>
            <w:vAlign w:val="center"/>
          </w:tcPr>
          <w:p w14:paraId="056E7AF1" w14:textId="77777777" w:rsidR="00047F7E" w:rsidRDefault="00F94D45" w:rsidP="001079B9">
            <w:pPr>
              <w:spacing w:before="60" w:after="60" w:line="276" w:lineRule="auto"/>
              <w:jc w:val="center"/>
              <w:rPr>
                <w:color w:val="000000"/>
                <w:spacing w:val="-3"/>
              </w:rPr>
            </w:pPr>
            <w:r>
              <w:rPr>
                <w:color w:val="000000"/>
                <w:w w:val="102"/>
              </w:rPr>
              <w:t>5</w:t>
            </w:r>
          </w:p>
        </w:tc>
      </w:tr>
      <w:tr w:rsidR="00047F7E" w:rsidRPr="009F126E" w14:paraId="31C25857" w14:textId="77777777" w:rsidTr="00850928">
        <w:trPr>
          <w:trHeight w:val="20"/>
        </w:trPr>
        <w:tc>
          <w:tcPr>
            <w:tcW w:w="810" w:type="dxa"/>
            <w:vAlign w:val="center"/>
          </w:tcPr>
          <w:p w14:paraId="13609A91" w14:textId="77777777" w:rsidR="00047F7E" w:rsidRPr="009F126E" w:rsidRDefault="00047F7E" w:rsidP="00845A13">
            <w:pPr>
              <w:spacing w:before="60" w:after="60" w:line="276" w:lineRule="auto"/>
              <w:jc w:val="center"/>
            </w:pPr>
            <w:r w:rsidRPr="009F126E">
              <w:t>9</w:t>
            </w:r>
          </w:p>
        </w:tc>
        <w:tc>
          <w:tcPr>
            <w:tcW w:w="1200" w:type="dxa"/>
          </w:tcPr>
          <w:p w14:paraId="7C166AF0" w14:textId="77777777" w:rsidR="00047F7E" w:rsidRPr="009F126E" w:rsidRDefault="00047F7E" w:rsidP="00845A13">
            <w:pPr>
              <w:spacing w:before="60" w:after="60" w:line="276" w:lineRule="auto"/>
              <w:jc w:val="center"/>
            </w:pPr>
            <w:r w:rsidRPr="009F126E">
              <w:t>1</w:t>
            </w:r>
          </w:p>
          <w:p w14:paraId="03117739" w14:textId="77777777" w:rsidR="00047F7E" w:rsidRPr="009F126E" w:rsidRDefault="00047F7E" w:rsidP="00845A13">
            <w:pPr>
              <w:spacing w:before="60" w:after="60" w:line="276" w:lineRule="auto"/>
              <w:jc w:val="center"/>
            </w:pPr>
            <w:r w:rsidRPr="009F126E">
              <w:t>2</w:t>
            </w:r>
          </w:p>
        </w:tc>
        <w:tc>
          <w:tcPr>
            <w:tcW w:w="7654" w:type="dxa"/>
          </w:tcPr>
          <w:p w14:paraId="501766E6" w14:textId="77777777" w:rsidR="00047F7E" w:rsidRDefault="00047F7E" w:rsidP="005F6C31">
            <w:pPr>
              <w:spacing w:before="60" w:after="60" w:line="276" w:lineRule="auto"/>
              <w:jc w:val="center"/>
              <w:rPr>
                <w:b/>
              </w:rPr>
            </w:pPr>
            <w:r>
              <w:rPr>
                <w:b/>
              </w:rPr>
              <w:t>DISCUSSION &amp; REVISION</w:t>
            </w:r>
          </w:p>
          <w:p w14:paraId="2CD3714E" w14:textId="77777777" w:rsidR="00047F7E" w:rsidRPr="009F126E" w:rsidRDefault="00047F7E" w:rsidP="005F6C31">
            <w:pPr>
              <w:spacing w:before="60" w:after="60" w:line="276" w:lineRule="auto"/>
              <w:jc w:val="center"/>
            </w:pPr>
            <w:r w:rsidRPr="004C6BFC">
              <w:rPr>
                <w:b/>
              </w:rPr>
              <w:t>MID TERM EXAM</w:t>
            </w:r>
          </w:p>
        </w:tc>
        <w:tc>
          <w:tcPr>
            <w:tcW w:w="1046" w:type="dxa"/>
            <w:vAlign w:val="bottom"/>
          </w:tcPr>
          <w:p w14:paraId="46AE8F75" w14:textId="77777777" w:rsidR="00047F7E" w:rsidRPr="00825C47" w:rsidRDefault="00047F7E" w:rsidP="005F64DD">
            <w:pPr>
              <w:spacing w:before="60" w:after="60" w:line="276" w:lineRule="auto"/>
              <w:jc w:val="center"/>
            </w:pPr>
          </w:p>
        </w:tc>
      </w:tr>
      <w:tr w:rsidR="00047F7E" w:rsidRPr="009F126E" w14:paraId="21260C7C" w14:textId="77777777" w:rsidTr="00850928">
        <w:trPr>
          <w:trHeight w:val="20"/>
        </w:trPr>
        <w:tc>
          <w:tcPr>
            <w:tcW w:w="810" w:type="dxa"/>
            <w:vAlign w:val="center"/>
          </w:tcPr>
          <w:p w14:paraId="07C3DD79" w14:textId="77777777" w:rsidR="00047F7E" w:rsidRPr="009F126E" w:rsidRDefault="00047F7E" w:rsidP="00845A13">
            <w:pPr>
              <w:spacing w:before="60" w:after="60" w:line="276" w:lineRule="auto"/>
              <w:jc w:val="center"/>
            </w:pPr>
            <w:r w:rsidRPr="009F126E">
              <w:t>10</w:t>
            </w:r>
          </w:p>
        </w:tc>
        <w:tc>
          <w:tcPr>
            <w:tcW w:w="1200" w:type="dxa"/>
          </w:tcPr>
          <w:p w14:paraId="00141299" w14:textId="77777777" w:rsidR="00047F7E" w:rsidRPr="009F126E" w:rsidRDefault="00047F7E" w:rsidP="00845A13">
            <w:pPr>
              <w:spacing w:before="60" w:after="60" w:line="276" w:lineRule="auto"/>
              <w:jc w:val="center"/>
            </w:pPr>
            <w:r w:rsidRPr="009F126E">
              <w:t>1</w:t>
            </w:r>
          </w:p>
          <w:p w14:paraId="1D1A2E6F" w14:textId="77777777" w:rsidR="00047F7E" w:rsidRPr="009F126E" w:rsidRDefault="00047F7E" w:rsidP="00845A13">
            <w:pPr>
              <w:spacing w:before="60" w:after="60" w:line="276" w:lineRule="auto"/>
              <w:jc w:val="center"/>
            </w:pPr>
            <w:r w:rsidRPr="009F126E">
              <w:t>2</w:t>
            </w:r>
          </w:p>
        </w:tc>
        <w:tc>
          <w:tcPr>
            <w:tcW w:w="7654" w:type="dxa"/>
          </w:tcPr>
          <w:p w14:paraId="10740A4E" w14:textId="77777777" w:rsidR="00047F7E" w:rsidRPr="009F126E" w:rsidRDefault="00047F7E" w:rsidP="005F6C31">
            <w:pPr>
              <w:spacing w:before="60" w:after="60" w:line="276" w:lineRule="auto"/>
              <w:jc w:val="both"/>
            </w:pPr>
            <w:r>
              <w:t xml:space="preserve">Cement Industry Introduction and </w:t>
            </w:r>
            <w:r w:rsidRPr="00A2224D">
              <w:t>Raw mater</w:t>
            </w:r>
            <w:r>
              <w:t>ials, Types of Cement and Manufacturing of Portland C</w:t>
            </w:r>
            <w:r w:rsidRPr="00A2224D">
              <w:t>ement</w:t>
            </w:r>
            <w:r>
              <w:rPr>
                <w:color w:val="000000"/>
                <w:spacing w:val="-2"/>
                <w:szCs w:val="20"/>
              </w:rPr>
              <w:t xml:space="preserve"> Composition and Formation of C</w:t>
            </w:r>
            <w:r w:rsidRPr="00A2224D">
              <w:rPr>
                <w:color w:val="000000"/>
                <w:spacing w:val="-2"/>
                <w:szCs w:val="20"/>
              </w:rPr>
              <w:t>linker</w:t>
            </w:r>
            <w:r>
              <w:rPr>
                <w:color w:val="000000"/>
                <w:spacing w:val="-2"/>
                <w:szCs w:val="20"/>
              </w:rPr>
              <w:t xml:space="preserve">s, </w:t>
            </w:r>
          </w:p>
        </w:tc>
        <w:tc>
          <w:tcPr>
            <w:tcW w:w="1046" w:type="dxa"/>
            <w:vAlign w:val="center"/>
          </w:tcPr>
          <w:p w14:paraId="4EBC195E" w14:textId="77777777" w:rsidR="00047F7E" w:rsidRPr="00B94D9D" w:rsidRDefault="00F94D45" w:rsidP="001079B9">
            <w:pPr>
              <w:spacing w:before="60" w:after="60" w:line="276" w:lineRule="auto"/>
              <w:jc w:val="center"/>
              <w:rPr>
                <w:color w:val="000000"/>
                <w:w w:val="102"/>
              </w:rPr>
            </w:pPr>
            <w:r>
              <w:t>10</w:t>
            </w:r>
          </w:p>
        </w:tc>
      </w:tr>
      <w:tr w:rsidR="00047F7E" w:rsidRPr="009F126E" w14:paraId="14260446" w14:textId="77777777" w:rsidTr="00850928">
        <w:trPr>
          <w:trHeight w:val="20"/>
        </w:trPr>
        <w:tc>
          <w:tcPr>
            <w:tcW w:w="810" w:type="dxa"/>
            <w:vAlign w:val="center"/>
          </w:tcPr>
          <w:p w14:paraId="4BB9A2A6" w14:textId="77777777" w:rsidR="00047F7E" w:rsidRPr="009F126E" w:rsidRDefault="00047F7E" w:rsidP="00845A13">
            <w:pPr>
              <w:spacing w:before="60" w:after="60" w:line="276" w:lineRule="auto"/>
              <w:jc w:val="center"/>
            </w:pPr>
            <w:r w:rsidRPr="009F126E">
              <w:t>11</w:t>
            </w:r>
          </w:p>
        </w:tc>
        <w:tc>
          <w:tcPr>
            <w:tcW w:w="1200" w:type="dxa"/>
          </w:tcPr>
          <w:p w14:paraId="2BA19D96" w14:textId="77777777" w:rsidR="00047F7E" w:rsidRPr="009F126E" w:rsidRDefault="00047F7E" w:rsidP="00845A13">
            <w:pPr>
              <w:spacing w:before="60" w:after="60" w:line="276" w:lineRule="auto"/>
              <w:jc w:val="center"/>
            </w:pPr>
            <w:r w:rsidRPr="009F126E">
              <w:t>1</w:t>
            </w:r>
          </w:p>
          <w:p w14:paraId="722750D1" w14:textId="77777777" w:rsidR="00047F7E" w:rsidRPr="009F126E" w:rsidRDefault="00047F7E" w:rsidP="00845A13">
            <w:pPr>
              <w:spacing w:before="60" w:after="60" w:line="276" w:lineRule="auto"/>
              <w:jc w:val="center"/>
            </w:pPr>
            <w:r w:rsidRPr="009F126E">
              <w:t>2</w:t>
            </w:r>
          </w:p>
        </w:tc>
        <w:tc>
          <w:tcPr>
            <w:tcW w:w="7654" w:type="dxa"/>
          </w:tcPr>
          <w:p w14:paraId="69544D25" w14:textId="77777777" w:rsidR="00047F7E" w:rsidRPr="009F126E" w:rsidRDefault="00047F7E" w:rsidP="005F6C31">
            <w:pPr>
              <w:spacing w:before="60" w:after="60" w:line="276" w:lineRule="auto"/>
              <w:jc w:val="both"/>
            </w:pPr>
            <w:r>
              <w:rPr>
                <w:color w:val="000000"/>
                <w:spacing w:val="-2"/>
                <w:szCs w:val="20"/>
              </w:rPr>
              <w:t>Reactions and Heat Change during Clinker f</w:t>
            </w:r>
            <w:r w:rsidR="00850928">
              <w:rPr>
                <w:color w:val="000000"/>
                <w:spacing w:val="-2"/>
                <w:szCs w:val="20"/>
              </w:rPr>
              <w:t>ormation for Cement, Setting &amp;</w:t>
            </w:r>
            <w:r>
              <w:rPr>
                <w:color w:val="000000"/>
                <w:spacing w:val="-2"/>
                <w:szCs w:val="20"/>
              </w:rPr>
              <w:t xml:space="preserve"> Hardening of</w:t>
            </w:r>
            <w:r w:rsidR="00850928">
              <w:rPr>
                <w:color w:val="000000"/>
                <w:spacing w:val="-2"/>
                <w:szCs w:val="20"/>
              </w:rPr>
              <w:t xml:space="preserve"> Cement, Formation of Gypsum &amp;</w:t>
            </w:r>
            <w:r>
              <w:rPr>
                <w:color w:val="000000"/>
                <w:spacing w:val="-2"/>
                <w:szCs w:val="20"/>
              </w:rPr>
              <w:t xml:space="preserve"> its importance in Cement</w:t>
            </w:r>
            <w:r>
              <w:rPr>
                <w:color w:val="000000"/>
                <w:spacing w:val="-3"/>
                <w:szCs w:val="20"/>
              </w:rPr>
              <w:t xml:space="preserve"> </w:t>
            </w:r>
          </w:p>
        </w:tc>
        <w:tc>
          <w:tcPr>
            <w:tcW w:w="1046" w:type="dxa"/>
            <w:vAlign w:val="center"/>
          </w:tcPr>
          <w:p w14:paraId="622081F2" w14:textId="77777777" w:rsidR="00047F7E" w:rsidRPr="008A0FA6" w:rsidRDefault="00F94D45" w:rsidP="001079B9">
            <w:pPr>
              <w:spacing w:before="60" w:after="60" w:line="276" w:lineRule="auto"/>
              <w:jc w:val="center"/>
            </w:pPr>
            <w:r>
              <w:t>10</w:t>
            </w:r>
          </w:p>
        </w:tc>
      </w:tr>
      <w:tr w:rsidR="00047F7E" w:rsidRPr="009F126E" w14:paraId="20D5A8C9" w14:textId="77777777" w:rsidTr="00850928">
        <w:trPr>
          <w:trHeight w:val="20"/>
        </w:trPr>
        <w:tc>
          <w:tcPr>
            <w:tcW w:w="810" w:type="dxa"/>
            <w:vAlign w:val="center"/>
          </w:tcPr>
          <w:p w14:paraId="117E9F5D" w14:textId="77777777" w:rsidR="00047F7E" w:rsidRPr="009F126E" w:rsidRDefault="00047F7E" w:rsidP="00845A13">
            <w:pPr>
              <w:spacing w:before="60" w:after="60" w:line="276" w:lineRule="auto"/>
              <w:jc w:val="center"/>
            </w:pPr>
            <w:r w:rsidRPr="009F126E">
              <w:t>12</w:t>
            </w:r>
          </w:p>
        </w:tc>
        <w:tc>
          <w:tcPr>
            <w:tcW w:w="1200" w:type="dxa"/>
          </w:tcPr>
          <w:p w14:paraId="41B47386" w14:textId="77777777" w:rsidR="00047F7E" w:rsidRPr="009F126E" w:rsidRDefault="00047F7E" w:rsidP="00845A13">
            <w:pPr>
              <w:spacing w:before="60" w:after="60" w:line="276" w:lineRule="auto"/>
              <w:jc w:val="center"/>
            </w:pPr>
            <w:r w:rsidRPr="009F126E">
              <w:t>1</w:t>
            </w:r>
          </w:p>
          <w:p w14:paraId="42C0B31F" w14:textId="77777777" w:rsidR="00047F7E" w:rsidRPr="009F126E" w:rsidRDefault="00047F7E" w:rsidP="00845A13">
            <w:pPr>
              <w:spacing w:before="60" w:after="60" w:line="276" w:lineRule="auto"/>
              <w:jc w:val="center"/>
            </w:pPr>
            <w:r w:rsidRPr="009F126E">
              <w:t>2</w:t>
            </w:r>
          </w:p>
        </w:tc>
        <w:tc>
          <w:tcPr>
            <w:tcW w:w="7654" w:type="dxa"/>
          </w:tcPr>
          <w:p w14:paraId="75A48520" w14:textId="77777777" w:rsidR="00047F7E" w:rsidRPr="009F126E" w:rsidRDefault="00047F7E" w:rsidP="00047F7E">
            <w:pPr>
              <w:spacing w:before="60" w:after="60" w:line="276" w:lineRule="auto"/>
              <w:jc w:val="both"/>
            </w:pPr>
            <w:r>
              <w:rPr>
                <w:color w:val="000000"/>
                <w:spacing w:val="-3"/>
                <w:szCs w:val="20"/>
              </w:rPr>
              <w:t xml:space="preserve">Glass Industry Introduction and Importance, Different Types of Glass and Applications Glass Industry: Glass Composition types of Commercial glasses, </w:t>
            </w:r>
          </w:p>
        </w:tc>
        <w:tc>
          <w:tcPr>
            <w:tcW w:w="1046" w:type="dxa"/>
            <w:vAlign w:val="center"/>
          </w:tcPr>
          <w:p w14:paraId="439406CC" w14:textId="77777777" w:rsidR="00047F7E" w:rsidRDefault="00F94D45" w:rsidP="00070FB8">
            <w:pPr>
              <w:spacing w:before="60" w:after="60" w:line="276" w:lineRule="auto"/>
              <w:jc w:val="center"/>
            </w:pPr>
            <w:r>
              <w:t>11</w:t>
            </w:r>
          </w:p>
        </w:tc>
      </w:tr>
      <w:tr w:rsidR="00047F7E" w:rsidRPr="009F126E" w14:paraId="3F101F8F" w14:textId="77777777" w:rsidTr="00850928">
        <w:trPr>
          <w:trHeight w:val="20"/>
        </w:trPr>
        <w:tc>
          <w:tcPr>
            <w:tcW w:w="810" w:type="dxa"/>
            <w:vAlign w:val="center"/>
          </w:tcPr>
          <w:p w14:paraId="3FB8F758" w14:textId="77777777" w:rsidR="00047F7E" w:rsidRPr="009F126E" w:rsidRDefault="00047F7E" w:rsidP="00845A13">
            <w:pPr>
              <w:spacing w:before="60" w:after="60" w:line="276" w:lineRule="auto"/>
              <w:jc w:val="center"/>
            </w:pPr>
            <w:r w:rsidRPr="009F126E">
              <w:t>13</w:t>
            </w:r>
          </w:p>
        </w:tc>
        <w:tc>
          <w:tcPr>
            <w:tcW w:w="1200" w:type="dxa"/>
          </w:tcPr>
          <w:p w14:paraId="35F5BA05" w14:textId="77777777" w:rsidR="00047F7E" w:rsidRPr="009F126E" w:rsidRDefault="00047F7E" w:rsidP="00845A13">
            <w:pPr>
              <w:spacing w:before="60" w:after="60" w:line="276" w:lineRule="auto"/>
              <w:jc w:val="center"/>
            </w:pPr>
            <w:r w:rsidRPr="009F126E">
              <w:t>1</w:t>
            </w:r>
          </w:p>
          <w:p w14:paraId="2EEE1D7F" w14:textId="77777777" w:rsidR="00047F7E" w:rsidRPr="009F126E" w:rsidRDefault="00047F7E" w:rsidP="00845A13">
            <w:pPr>
              <w:spacing w:before="60" w:after="60" w:line="276" w:lineRule="auto"/>
              <w:jc w:val="center"/>
            </w:pPr>
            <w:r w:rsidRPr="009F126E">
              <w:t>2</w:t>
            </w:r>
          </w:p>
        </w:tc>
        <w:tc>
          <w:tcPr>
            <w:tcW w:w="7654" w:type="dxa"/>
          </w:tcPr>
          <w:p w14:paraId="7FEE5624" w14:textId="77777777" w:rsidR="00047F7E" w:rsidRPr="009F126E" w:rsidRDefault="00047F7E" w:rsidP="0054597D">
            <w:pPr>
              <w:spacing w:before="60" w:after="60" w:line="276" w:lineRule="auto"/>
              <w:jc w:val="both"/>
            </w:pPr>
            <w:r>
              <w:rPr>
                <w:color w:val="000000"/>
                <w:spacing w:val="-3"/>
                <w:szCs w:val="20"/>
              </w:rPr>
              <w:t>Methods of Manufacturing of Commercial Glasses, Manufacturing Methods of Special Glasses, Glass as raw material for different Composites Materials</w:t>
            </w:r>
          </w:p>
        </w:tc>
        <w:tc>
          <w:tcPr>
            <w:tcW w:w="1046" w:type="dxa"/>
            <w:vAlign w:val="center"/>
          </w:tcPr>
          <w:p w14:paraId="756BAE71" w14:textId="77777777" w:rsidR="00047F7E" w:rsidRDefault="00F94D45" w:rsidP="0054597D">
            <w:pPr>
              <w:spacing w:before="60" w:after="60" w:line="276" w:lineRule="auto"/>
              <w:jc w:val="center"/>
            </w:pPr>
            <w:r>
              <w:t>11</w:t>
            </w:r>
          </w:p>
        </w:tc>
      </w:tr>
      <w:tr w:rsidR="00390B11" w:rsidRPr="009F126E" w14:paraId="57ADB2C3" w14:textId="77777777" w:rsidTr="00850928">
        <w:trPr>
          <w:trHeight w:val="20"/>
        </w:trPr>
        <w:tc>
          <w:tcPr>
            <w:tcW w:w="810" w:type="dxa"/>
            <w:vAlign w:val="center"/>
          </w:tcPr>
          <w:p w14:paraId="68978A30" w14:textId="77777777" w:rsidR="00390B11" w:rsidRPr="009F126E" w:rsidRDefault="00390B11" w:rsidP="00845A13">
            <w:pPr>
              <w:spacing w:before="60" w:after="60" w:line="276" w:lineRule="auto"/>
              <w:jc w:val="center"/>
            </w:pPr>
            <w:r w:rsidRPr="009F126E">
              <w:t>14</w:t>
            </w:r>
          </w:p>
        </w:tc>
        <w:tc>
          <w:tcPr>
            <w:tcW w:w="1200" w:type="dxa"/>
          </w:tcPr>
          <w:p w14:paraId="189D3A18" w14:textId="77777777" w:rsidR="00390B11" w:rsidRPr="009F126E" w:rsidRDefault="00390B11" w:rsidP="00845A13">
            <w:pPr>
              <w:spacing w:before="60" w:after="60" w:line="276" w:lineRule="auto"/>
              <w:jc w:val="center"/>
            </w:pPr>
            <w:r w:rsidRPr="009F126E">
              <w:t>1</w:t>
            </w:r>
          </w:p>
          <w:p w14:paraId="62CA5859" w14:textId="77777777" w:rsidR="00390B11" w:rsidRPr="009F126E" w:rsidRDefault="00390B11" w:rsidP="00845A13">
            <w:pPr>
              <w:spacing w:before="60" w:after="60" w:line="276" w:lineRule="auto"/>
              <w:jc w:val="center"/>
            </w:pPr>
            <w:r w:rsidRPr="009F126E">
              <w:t>2</w:t>
            </w:r>
          </w:p>
        </w:tc>
        <w:tc>
          <w:tcPr>
            <w:tcW w:w="7654" w:type="dxa"/>
          </w:tcPr>
          <w:p w14:paraId="07AC3FED" w14:textId="77777777" w:rsidR="00390B11" w:rsidRPr="00F94D45" w:rsidRDefault="00390B11" w:rsidP="00850928">
            <w:pPr>
              <w:spacing w:before="60" w:after="60" w:line="276" w:lineRule="auto"/>
              <w:jc w:val="both"/>
              <w:rPr>
                <w:rFonts w:asciiTheme="majorBidi" w:hAnsiTheme="majorBidi" w:cstheme="majorBidi"/>
              </w:rPr>
            </w:pPr>
            <w:r w:rsidRPr="00F94D45">
              <w:rPr>
                <w:rFonts w:asciiTheme="majorBidi" w:hAnsiTheme="majorBidi" w:cstheme="majorBidi"/>
              </w:rPr>
              <w:t xml:space="preserve">Introduction of Petroleum and Petrochemical Industry: Desalting, </w:t>
            </w:r>
            <w:r w:rsidR="00F94D45" w:rsidRPr="00F94D45">
              <w:rPr>
                <w:rFonts w:asciiTheme="majorBidi" w:hAnsiTheme="majorBidi" w:cstheme="majorBidi"/>
              </w:rPr>
              <w:t xml:space="preserve">Distillation </w:t>
            </w:r>
            <w:r w:rsidRPr="00F94D45">
              <w:rPr>
                <w:rFonts w:asciiTheme="majorBidi" w:hAnsiTheme="majorBidi" w:cstheme="majorBidi"/>
              </w:rPr>
              <w:t xml:space="preserve">Evaluation, </w:t>
            </w:r>
            <w:r w:rsidR="00F94D45" w:rsidRPr="00F94D45">
              <w:rPr>
                <w:rFonts w:asciiTheme="majorBidi" w:hAnsiTheme="majorBidi" w:cstheme="majorBidi"/>
              </w:rPr>
              <w:t>Dewatering</w:t>
            </w:r>
            <w:r w:rsidRPr="00F94D45">
              <w:rPr>
                <w:rFonts w:asciiTheme="majorBidi" w:hAnsiTheme="majorBidi" w:cstheme="majorBidi"/>
              </w:rPr>
              <w:t>, C</w:t>
            </w:r>
            <w:r w:rsidR="00F94D45" w:rsidRPr="00F94D45">
              <w:rPr>
                <w:rFonts w:asciiTheme="majorBidi" w:hAnsiTheme="majorBidi" w:cstheme="majorBidi"/>
              </w:rPr>
              <w:t>ra</w:t>
            </w:r>
            <w:r w:rsidR="00850928">
              <w:rPr>
                <w:rFonts w:asciiTheme="majorBidi" w:hAnsiTheme="majorBidi" w:cstheme="majorBidi"/>
              </w:rPr>
              <w:t>cking, Hydrocracking &amp;</w:t>
            </w:r>
            <w:r w:rsidR="00F94D45">
              <w:rPr>
                <w:rFonts w:asciiTheme="majorBidi" w:hAnsiTheme="majorBidi" w:cstheme="majorBidi"/>
              </w:rPr>
              <w:t xml:space="preserve"> </w:t>
            </w:r>
            <w:r w:rsidRPr="00F94D45">
              <w:rPr>
                <w:rFonts w:asciiTheme="majorBidi" w:hAnsiTheme="majorBidi" w:cstheme="majorBidi"/>
              </w:rPr>
              <w:t xml:space="preserve">Reforming </w:t>
            </w:r>
          </w:p>
        </w:tc>
        <w:tc>
          <w:tcPr>
            <w:tcW w:w="1046" w:type="dxa"/>
            <w:vAlign w:val="center"/>
          </w:tcPr>
          <w:p w14:paraId="761D28A8" w14:textId="77777777" w:rsidR="00390B11" w:rsidRPr="00F94D45" w:rsidRDefault="00F94D45" w:rsidP="001079B9">
            <w:pPr>
              <w:spacing w:before="60" w:after="60" w:line="276" w:lineRule="auto"/>
              <w:jc w:val="center"/>
              <w:rPr>
                <w:rFonts w:asciiTheme="majorBidi" w:hAnsiTheme="majorBidi" w:cstheme="majorBidi"/>
              </w:rPr>
            </w:pPr>
            <w:r>
              <w:rPr>
                <w:rFonts w:asciiTheme="majorBidi" w:hAnsiTheme="majorBidi" w:cstheme="majorBidi"/>
              </w:rPr>
              <w:t>13</w:t>
            </w:r>
          </w:p>
        </w:tc>
      </w:tr>
      <w:tr w:rsidR="00390B11" w:rsidRPr="009F126E" w14:paraId="2941C52D" w14:textId="77777777" w:rsidTr="00850928">
        <w:trPr>
          <w:trHeight w:val="20"/>
        </w:trPr>
        <w:tc>
          <w:tcPr>
            <w:tcW w:w="810" w:type="dxa"/>
            <w:vAlign w:val="center"/>
          </w:tcPr>
          <w:p w14:paraId="3DAFB4E3" w14:textId="77777777" w:rsidR="00390B11" w:rsidRPr="009F126E" w:rsidRDefault="00390B11" w:rsidP="00845A13">
            <w:pPr>
              <w:spacing w:before="60" w:after="60" w:line="276" w:lineRule="auto"/>
              <w:jc w:val="center"/>
            </w:pPr>
            <w:r w:rsidRPr="009F126E">
              <w:t>15</w:t>
            </w:r>
          </w:p>
        </w:tc>
        <w:tc>
          <w:tcPr>
            <w:tcW w:w="1200" w:type="dxa"/>
          </w:tcPr>
          <w:p w14:paraId="18BB3E56" w14:textId="77777777" w:rsidR="00390B11" w:rsidRPr="009F126E" w:rsidRDefault="00390B11" w:rsidP="00845A13">
            <w:pPr>
              <w:spacing w:before="60" w:after="60" w:line="276" w:lineRule="auto"/>
              <w:jc w:val="center"/>
            </w:pPr>
            <w:r w:rsidRPr="009F126E">
              <w:t>1</w:t>
            </w:r>
          </w:p>
          <w:p w14:paraId="625322DC" w14:textId="77777777" w:rsidR="00390B11" w:rsidRPr="009F126E" w:rsidRDefault="00390B11" w:rsidP="00845A13">
            <w:pPr>
              <w:spacing w:before="60" w:after="60" w:line="276" w:lineRule="auto"/>
              <w:jc w:val="center"/>
            </w:pPr>
            <w:r w:rsidRPr="009F126E">
              <w:t>2</w:t>
            </w:r>
          </w:p>
        </w:tc>
        <w:tc>
          <w:tcPr>
            <w:tcW w:w="7654" w:type="dxa"/>
          </w:tcPr>
          <w:p w14:paraId="2A6D45EA" w14:textId="77777777" w:rsidR="00390B11" w:rsidRPr="00F94D45" w:rsidRDefault="00390B11" w:rsidP="001079B9">
            <w:pPr>
              <w:spacing w:before="60" w:after="60" w:line="276" w:lineRule="auto"/>
              <w:jc w:val="both"/>
              <w:rPr>
                <w:rFonts w:asciiTheme="majorBidi" w:hAnsiTheme="majorBidi" w:cstheme="majorBidi"/>
              </w:rPr>
            </w:pPr>
            <w:r w:rsidRPr="00F94D45">
              <w:rPr>
                <w:rFonts w:asciiTheme="majorBidi" w:hAnsiTheme="majorBidi" w:cstheme="majorBidi"/>
              </w:rPr>
              <w:t>Treating Processes, Pe</w:t>
            </w:r>
            <w:r w:rsidR="00850928">
              <w:rPr>
                <w:rFonts w:asciiTheme="majorBidi" w:hAnsiTheme="majorBidi" w:cstheme="majorBidi"/>
              </w:rPr>
              <w:t>troleum Products, Fuel &amp;</w:t>
            </w:r>
            <w:r w:rsidRPr="00F94D45">
              <w:rPr>
                <w:rFonts w:asciiTheme="majorBidi" w:hAnsiTheme="majorBidi" w:cstheme="majorBidi"/>
              </w:rPr>
              <w:t xml:space="preserve"> Liquefied Petroleum Gas</w:t>
            </w:r>
            <w:r w:rsidR="00850928">
              <w:rPr>
                <w:rFonts w:asciiTheme="majorBidi" w:hAnsiTheme="majorBidi" w:cstheme="majorBidi"/>
              </w:rPr>
              <w:t>es</w:t>
            </w:r>
            <w:r w:rsidRPr="00F94D45">
              <w:rPr>
                <w:rFonts w:asciiTheme="majorBidi" w:hAnsiTheme="majorBidi" w:cstheme="majorBidi"/>
              </w:rPr>
              <w:t xml:space="preserve"> </w:t>
            </w:r>
          </w:p>
          <w:p w14:paraId="3D1FDC61" w14:textId="77777777" w:rsidR="00390B11" w:rsidRPr="00F94D45" w:rsidRDefault="00F94D45" w:rsidP="00850928">
            <w:pPr>
              <w:spacing w:before="60" w:after="60" w:line="276" w:lineRule="auto"/>
              <w:jc w:val="both"/>
              <w:rPr>
                <w:rFonts w:asciiTheme="majorBidi" w:hAnsiTheme="majorBidi" w:cstheme="majorBidi"/>
              </w:rPr>
            </w:pPr>
            <w:r>
              <w:rPr>
                <w:rFonts w:asciiTheme="majorBidi" w:hAnsiTheme="majorBidi" w:cstheme="majorBidi"/>
              </w:rPr>
              <w:t xml:space="preserve">Gasoline, Solvents, </w:t>
            </w:r>
            <w:r w:rsidR="00850928">
              <w:rPr>
                <w:rFonts w:asciiTheme="majorBidi" w:hAnsiTheme="majorBidi" w:cstheme="majorBidi"/>
              </w:rPr>
              <w:t>Fuel,</w:t>
            </w:r>
            <w:r w:rsidR="00390B11" w:rsidRPr="00F94D45">
              <w:rPr>
                <w:rFonts w:asciiTheme="majorBidi" w:hAnsiTheme="majorBidi" w:cstheme="majorBidi"/>
              </w:rPr>
              <w:t xml:space="preserve"> Lu</w:t>
            </w:r>
            <w:r w:rsidR="00850928">
              <w:rPr>
                <w:rFonts w:asciiTheme="majorBidi" w:hAnsiTheme="majorBidi" w:cstheme="majorBidi"/>
              </w:rPr>
              <w:t>bricating Oil, Petroleum Wax &amp;</w:t>
            </w:r>
            <w:r w:rsidR="00390B11" w:rsidRPr="00F94D45">
              <w:rPr>
                <w:rFonts w:asciiTheme="majorBidi" w:hAnsiTheme="majorBidi" w:cstheme="majorBidi"/>
              </w:rPr>
              <w:t xml:space="preserve"> Petrochemicals </w:t>
            </w:r>
          </w:p>
        </w:tc>
        <w:tc>
          <w:tcPr>
            <w:tcW w:w="1046" w:type="dxa"/>
            <w:vAlign w:val="center"/>
          </w:tcPr>
          <w:p w14:paraId="0A563BD3" w14:textId="77777777" w:rsidR="00390B11" w:rsidRPr="00F94D45" w:rsidRDefault="00390B11" w:rsidP="001079B9">
            <w:pPr>
              <w:spacing w:before="60" w:after="60" w:line="276" w:lineRule="auto"/>
              <w:jc w:val="center"/>
              <w:rPr>
                <w:rFonts w:asciiTheme="majorBidi" w:hAnsiTheme="majorBidi" w:cstheme="majorBidi"/>
              </w:rPr>
            </w:pPr>
            <w:r w:rsidRPr="00F94D45">
              <w:rPr>
                <w:rFonts w:asciiTheme="majorBidi" w:hAnsiTheme="majorBidi" w:cstheme="majorBidi"/>
              </w:rPr>
              <w:t>13</w:t>
            </w:r>
          </w:p>
        </w:tc>
      </w:tr>
    </w:tbl>
    <w:p w14:paraId="5B3619AD" w14:textId="77777777" w:rsidR="00ED59A2" w:rsidRPr="009F126E" w:rsidRDefault="00ED59A2" w:rsidP="00845A13">
      <w:pPr>
        <w:tabs>
          <w:tab w:val="left" w:pos="578"/>
          <w:tab w:val="left" w:pos="3131"/>
          <w:tab w:val="left" w:pos="5607"/>
          <w:tab w:val="left" w:pos="8082"/>
          <w:tab w:val="left" w:pos="9611"/>
        </w:tabs>
        <w:spacing w:line="276" w:lineRule="auto"/>
        <w:rPr>
          <w:rFonts w:ascii="Times New Roman Bold" w:hAnsi="Times New Roman Bold" w:cs="Times New Roman Bold"/>
          <w:spacing w:val="-3"/>
        </w:rPr>
      </w:pPr>
    </w:p>
    <w:sectPr w:rsidR="00ED59A2" w:rsidRPr="009F126E" w:rsidSect="00FE5334">
      <w:pgSz w:w="11909" w:h="16834" w:code="9"/>
      <w:pgMar w:top="450" w:right="1152" w:bottom="630" w:left="115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5A2AFB2"/>
    <w:lvl w:ilvl="0">
      <w:start w:val="1"/>
      <w:numFmt w:val="decimal"/>
      <w:lvlText w:val="%1."/>
      <w:lvlJc w:val="left"/>
      <w:pPr>
        <w:tabs>
          <w:tab w:val="num" w:pos="1800"/>
        </w:tabs>
        <w:ind w:left="1800" w:hanging="360"/>
      </w:pPr>
    </w:lvl>
  </w:abstractNum>
  <w:abstractNum w:abstractNumId="1">
    <w:nsid w:val="FFFFFF7D"/>
    <w:multiLevelType w:val="singleLevel"/>
    <w:tmpl w:val="E1DE9358"/>
    <w:lvl w:ilvl="0">
      <w:start w:val="1"/>
      <w:numFmt w:val="decimal"/>
      <w:lvlText w:val="%1."/>
      <w:lvlJc w:val="left"/>
      <w:pPr>
        <w:tabs>
          <w:tab w:val="num" w:pos="1440"/>
        </w:tabs>
        <w:ind w:left="1440" w:hanging="360"/>
      </w:pPr>
    </w:lvl>
  </w:abstractNum>
  <w:abstractNum w:abstractNumId="2">
    <w:nsid w:val="FFFFFF7E"/>
    <w:multiLevelType w:val="singleLevel"/>
    <w:tmpl w:val="072C69F0"/>
    <w:lvl w:ilvl="0">
      <w:start w:val="1"/>
      <w:numFmt w:val="decimal"/>
      <w:lvlText w:val="%1."/>
      <w:lvlJc w:val="left"/>
      <w:pPr>
        <w:tabs>
          <w:tab w:val="num" w:pos="1080"/>
        </w:tabs>
        <w:ind w:left="1080" w:hanging="360"/>
      </w:pPr>
    </w:lvl>
  </w:abstractNum>
  <w:abstractNum w:abstractNumId="3">
    <w:nsid w:val="FFFFFF7F"/>
    <w:multiLevelType w:val="singleLevel"/>
    <w:tmpl w:val="3CA03748"/>
    <w:lvl w:ilvl="0">
      <w:start w:val="1"/>
      <w:numFmt w:val="decimal"/>
      <w:lvlText w:val="%1."/>
      <w:lvlJc w:val="left"/>
      <w:pPr>
        <w:tabs>
          <w:tab w:val="num" w:pos="720"/>
        </w:tabs>
        <w:ind w:left="720" w:hanging="360"/>
      </w:pPr>
    </w:lvl>
  </w:abstractNum>
  <w:abstractNum w:abstractNumId="4">
    <w:nsid w:val="FFFFFF80"/>
    <w:multiLevelType w:val="singleLevel"/>
    <w:tmpl w:val="A93CE2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4AA7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52D7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A8EAFA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36D81C"/>
    <w:lvl w:ilvl="0">
      <w:start w:val="1"/>
      <w:numFmt w:val="decimal"/>
      <w:lvlText w:val="%1."/>
      <w:lvlJc w:val="left"/>
      <w:pPr>
        <w:tabs>
          <w:tab w:val="num" w:pos="360"/>
        </w:tabs>
        <w:ind w:left="360" w:hanging="360"/>
      </w:pPr>
    </w:lvl>
  </w:abstractNum>
  <w:abstractNum w:abstractNumId="9">
    <w:nsid w:val="FFFFFF89"/>
    <w:multiLevelType w:val="singleLevel"/>
    <w:tmpl w:val="4CFA8F4C"/>
    <w:lvl w:ilvl="0">
      <w:start w:val="1"/>
      <w:numFmt w:val="bullet"/>
      <w:lvlText w:val=""/>
      <w:lvlJc w:val="left"/>
      <w:pPr>
        <w:tabs>
          <w:tab w:val="num" w:pos="360"/>
        </w:tabs>
        <w:ind w:left="360" w:hanging="360"/>
      </w:pPr>
      <w:rPr>
        <w:rFonts w:ascii="Symbol" w:hAnsi="Symbol" w:hint="default"/>
      </w:rPr>
    </w:lvl>
  </w:abstractNum>
  <w:abstractNum w:abstractNumId="10">
    <w:nsid w:val="03E50B5A"/>
    <w:multiLevelType w:val="hybridMultilevel"/>
    <w:tmpl w:val="98CC78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AF3C2A"/>
    <w:multiLevelType w:val="hybridMultilevel"/>
    <w:tmpl w:val="A5064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EF73C07"/>
    <w:multiLevelType w:val="hybridMultilevel"/>
    <w:tmpl w:val="84F2CA8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23B18F7"/>
    <w:multiLevelType w:val="hybridMultilevel"/>
    <w:tmpl w:val="03D433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4A6EC4"/>
    <w:multiLevelType w:val="multilevel"/>
    <w:tmpl w:val="92C4D7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742014A"/>
    <w:multiLevelType w:val="hybridMultilevel"/>
    <w:tmpl w:val="6890E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B02FD2"/>
    <w:multiLevelType w:val="hybridMultilevel"/>
    <w:tmpl w:val="B6067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7F7072"/>
    <w:multiLevelType w:val="hybridMultilevel"/>
    <w:tmpl w:val="4FA6E9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A85DA3"/>
    <w:multiLevelType w:val="hybridMultilevel"/>
    <w:tmpl w:val="8902934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9E22A9"/>
    <w:multiLevelType w:val="hybridMultilevel"/>
    <w:tmpl w:val="B7B2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CB5192"/>
    <w:multiLevelType w:val="hybridMultilevel"/>
    <w:tmpl w:val="45A653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9E5F75"/>
    <w:multiLevelType w:val="hybridMultilevel"/>
    <w:tmpl w:val="9D206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241FE0"/>
    <w:multiLevelType w:val="hybridMultilevel"/>
    <w:tmpl w:val="A8C86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755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D9C2CB6"/>
    <w:multiLevelType w:val="hybridMultilevel"/>
    <w:tmpl w:val="F89E70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7EA0386"/>
    <w:multiLevelType w:val="hybridMultilevel"/>
    <w:tmpl w:val="8070C11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0B0E13"/>
    <w:multiLevelType w:val="hybridMultilevel"/>
    <w:tmpl w:val="BADAE2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C7212A9"/>
    <w:multiLevelType w:val="hybridMultilevel"/>
    <w:tmpl w:val="8D846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8D291F"/>
    <w:multiLevelType w:val="hybridMultilevel"/>
    <w:tmpl w:val="85965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5D6713A"/>
    <w:multiLevelType w:val="hybridMultilevel"/>
    <w:tmpl w:val="FEDA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E2024C"/>
    <w:multiLevelType w:val="hybridMultilevel"/>
    <w:tmpl w:val="92C4D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ED7D96"/>
    <w:multiLevelType w:val="hybridMultilevel"/>
    <w:tmpl w:val="52AAB93C"/>
    <w:lvl w:ilvl="0" w:tplc="04090001">
      <w:start w:val="1"/>
      <w:numFmt w:val="bullet"/>
      <w:lvlText w:val=""/>
      <w:lvlJc w:val="left"/>
      <w:pPr>
        <w:tabs>
          <w:tab w:val="num" w:pos="429"/>
        </w:tabs>
        <w:ind w:left="429" w:hanging="360"/>
      </w:pPr>
      <w:rPr>
        <w:rFonts w:ascii="Symbol" w:hAnsi="Symbol" w:hint="default"/>
      </w:rPr>
    </w:lvl>
    <w:lvl w:ilvl="1" w:tplc="04090003" w:tentative="1">
      <w:start w:val="1"/>
      <w:numFmt w:val="bullet"/>
      <w:lvlText w:val="o"/>
      <w:lvlJc w:val="left"/>
      <w:pPr>
        <w:tabs>
          <w:tab w:val="num" w:pos="1149"/>
        </w:tabs>
        <w:ind w:left="1149" w:hanging="360"/>
      </w:pPr>
      <w:rPr>
        <w:rFonts w:ascii="Courier New" w:hAnsi="Courier New" w:cs="Courier New" w:hint="default"/>
      </w:rPr>
    </w:lvl>
    <w:lvl w:ilvl="2" w:tplc="04090005" w:tentative="1">
      <w:start w:val="1"/>
      <w:numFmt w:val="bullet"/>
      <w:lvlText w:val=""/>
      <w:lvlJc w:val="left"/>
      <w:pPr>
        <w:tabs>
          <w:tab w:val="num" w:pos="1869"/>
        </w:tabs>
        <w:ind w:left="1869" w:hanging="360"/>
      </w:pPr>
      <w:rPr>
        <w:rFonts w:ascii="Wingdings" w:hAnsi="Wingdings" w:hint="default"/>
      </w:rPr>
    </w:lvl>
    <w:lvl w:ilvl="3" w:tplc="04090001" w:tentative="1">
      <w:start w:val="1"/>
      <w:numFmt w:val="bullet"/>
      <w:lvlText w:val=""/>
      <w:lvlJc w:val="left"/>
      <w:pPr>
        <w:tabs>
          <w:tab w:val="num" w:pos="2589"/>
        </w:tabs>
        <w:ind w:left="2589" w:hanging="360"/>
      </w:pPr>
      <w:rPr>
        <w:rFonts w:ascii="Symbol" w:hAnsi="Symbol" w:hint="default"/>
      </w:rPr>
    </w:lvl>
    <w:lvl w:ilvl="4" w:tplc="04090003" w:tentative="1">
      <w:start w:val="1"/>
      <w:numFmt w:val="bullet"/>
      <w:lvlText w:val="o"/>
      <w:lvlJc w:val="left"/>
      <w:pPr>
        <w:tabs>
          <w:tab w:val="num" w:pos="3309"/>
        </w:tabs>
        <w:ind w:left="3309" w:hanging="360"/>
      </w:pPr>
      <w:rPr>
        <w:rFonts w:ascii="Courier New" w:hAnsi="Courier New" w:cs="Courier New" w:hint="default"/>
      </w:rPr>
    </w:lvl>
    <w:lvl w:ilvl="5" w:tplc="04090005" w:tentative="1">
      <w:start w:val="1"/>
      <w:numFmt w:val="bullet"/>
      <w:lvlText w:val=""/>
      <w:lvlJc w:val="left"/>
      <w:pPr>
        <w:tabs>
          <w:tab w:val="num" w:pos="4029"/>
        </w:tabs>
        <w:ind w:left="4029" w:hanging="360"/>
      </w:pPr>
      <w:rPr>
        <w:rFonts w:ascii="Wingdings" w:hAnsi="Wingdings" w:hint="default"/>
      </w:rPr>
    </w:lvl>
    <w:lvl w:ilvl="6" w:tplc="04090001" w:tentative="1">
      <w:start w:val="1"/>
      <w:numFmt w:val="bullet"/>
      <w:lvlText w:val=""/>
      <w:lvlJc w:val="left"/>
      <w:pPr>
        <w:tabs>
          <w:tab w:val="num" w:pos="4749"/>
        </w:tabs>
        <w:ind w:left="4749" w:hanging="360"/>
      </w:pPr>
      <w:rPr>
        <w:rFonts w:ascii="Symbol" w:hAnsi="Symbol" w:hint="default"/>
      </w:rPr>
    </w:lvl>
    <w:lvl w:ilvl="7" w:tplc="04090003" w:tentative="1">
      <w:start w:val="1"/>
      <w:numFmt w:val="bullet"/>
      <w:lvlText w:val="o"/>
      <w:lvlJc w:val="left"/>
      <w:pPr>
        <w:tabs>
          <w:tab w:val="num" w:pos="5469"/>
        </w:tabs>
        <w:ind w:left="5469" w:hanging="360"/>
      </w:pPr>
      <w:rPr>
        <w:rFonts w:ascii="Courier New" w:hAnsi="Courier New" w:cs="Courier New" w:hint="default"/>
      </w:rPr>
    </w:lvl>
    <w:lvl w:ilvl="8" w:tplc="04090005" w:tentative="1">
      <w:start w:val="1"/>
      <w:numFmt w:val="bullet"/>
      <w:lvlText w:val=""/>
      <w:lvlJc w:val="left"/>
      <w:pPr>
        <w:tabs>
          <w:tab w:val="num" w:pos="6189"/>
        </w:tabs>
        <w:ind w:left="6189" w:hanging="360"/>
      </w:pPr>
      <w:rPr>
        <w:rFonts w:ascii="Wingdings" w:hAnsi="Wingdings" w:hint="default"/>
      </w:rPr>
    </w:lvl>
  </w:abstractNum>
  <w:num w:numId="1">
    <w:abstractNumId w:val="28"/>
  </w:num>
  <w:num w:numId="2">
    <w:abstractNumId w:val="16"/>
  </w:num>
  <w:num w:numId="3">
    <w:abstractNumId w:val="11"/>
  </w:num>
  <w:num w:numId="4">
    <w:abstractNumId w:val="2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6"/>
  </w:num>
  <w:num w:numId="17">
    <w:abstractNumId w:val="18"/>
  </w:num>
  <w:num w:numId="18">
    <w:abstractNumId w:val="25"/>
  </w:num>
  <w:num w:numId="19">
    <w:abstractNumId w:val="10"/>
  </w:num>
  <w:num w:numId="20">
    <w:abstractNumId w:val="31"/>
  </w:num>
  <w:num w:numId="21">
    <w:abstractNumId w:val="23"/>
  </w:num>
  <w:num w:numId="22">
    <w:abstractNumId w:val="22"/>
  </w:num>
  <w:num w:numId="23">
    <w:abstractNumId w:val="27"/>
  </w:num>
  <w:num w:numId="24">
    <w:abstractNumId w:val="20"/>
  </w:num>
  <w:num w:numId="25">
    <w:abstractNumId w:val="12"/>
  </w:num>
  <w:num w:numId="26">
    <w:abstractNumId w:val="24"/>
  </w:num>
  <w:num w:numId="27">
    <w:abstractNumId w:val="30"/>
  </w:num>
  <w:num w:numId="28">
    <w:abstractNumId w:val="14"/>
  </w:num>
  <w:num w:numId="29">
    <w:abstractNumId w:val="13"/>
  </w:num>
  <w:num w:numId="30">
    <w:abstractNumId w:val="29"/>
  </w:num>
  <w:num w:numId="31">
    <w:abstractNumId w:val="1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2"/>
  </w:compat>
  <w:rsids>
    <w:rsidRoot w:val="00081A86"/>
    <w:rsid w:val="000030BC"/>
    <w:rsid w:val="00006032"/>
    <w:rsid w:val="0000609F"/>
    <w:rsid w:val="00012B3A"/>
    <w:rsid w:val="0002303D"/>
    <w:rsid w:val="00025679"/>
    <w:rsid w:val="00041D7B"/>
    <w:rsid w:val="000439CD"/>
    <w:rsid w:val="00044AC3"/>
    <w:rsid w:val="000461AD"/>
    <w:rsid w:val="00047AE8"/>
    <w:rsid w:val="00047F7E"/>
    <w:rsid w:val="00050F56"/>
    <w:rsid w:val="00055B6A"/>
    <w:rsid w:val="000620D6"/>
    <w:rsid w:val="0006400E"/>
    <w:rsid w:val="00064FD3"/>
    <w:rsid w:val="0006758D"/>
    <w:rsid w:val="00070254"/>
    <w:rsid w:val="00070FB8"/>
    <w:rsid w:val="00074041"/>
    <w:rsid w:val="0008165F"/>
    <w:rsid w:val="00081A86"/>
    <w:rsid w:val="00093673"/>
    <w:rsid w:val="00097297"/>
    <w:rsid w:val="000A47F9"/>
    <w:rsid w:val="000A6D3C"/>
    <w:rsid w:val="000B353D"/>
    <w:rsid w:val="000D45F8"/>
    <w:rsid w:val="000D47D1"/>
    <w:rsid w:val="000D6E6A"/>
    <w:rsid w:val="000E2B4F"/>
    <w:rsid w:val="000E3867"/>
    <w:rsid w:val="000E4DE7"/>
    <w:rsid w:val="000E7B1F"/>
    <w:rsid w:val="000F4176"/>
    <w:rsid w:val="000F5FD1"/>
    <w:rsid w:val="00103AF7"/>
    <w:rsid w:val="0010558D"/>
    <w:rsid w:val="00107D7C"/>
    <w:rsid w:val="0011238E"/>
    <w:rsid w:val="00120FBF"/>
    <w:rsid w:val="00126142"/>
    <w:rsid w:val="00130D08"/>
    <w:rsid w:val="00131CCE"/>
    <w:rsid w:val="00131F6B"/>
    <w:rsid w:val="00133EC9"/>
    <w:rsid w:val="0014233B"/>
    <w:rsid w:val="00145704"/>
    <w:rsid w:val="00147B3D"/>
    <w:rsid w:val="001527AB"/>
    <w:rsid w:val="00154553"/>
    <w:rsid w:val="00160E59"/>
    <w:rsid w:val="00167037"/>
    <w:rsid w:val="001757AD"/>
    <w:rsid w:val="0017597B"/>
    <w:rsid w:val="001806D4"/>
    <w:rsid w:val="001A0011"/>
    <w:rsid w:val="001A7BD2"/>
    <w:rsid w:val="001B5F33"/>
    <w:rsid w:val="001C0C83"/>
    <w:rsid w:val="001C2B12"/>
    <w:rsid w:val="001C3463"/>
    <w:rsid w:val="001C7F1D"/>
    <w:rsid w:val="001E4A7F"/>
    <w:rsid w:val="001E5E99"/>
    <w:rsid w:val="001E7672"/>
    <w:rsid w:val="001F58C5"/>
    <w:rsid w:val="001F76BA"/>
    <w:rsid w:val="00203455"/>
    <w:rsid w:val="002036B3"/>
    <w:rsid w:val="00203BEC"/>
    <w:rsid w:val="00203D0D"/>
    <w:rsid w:val="002112C6"/>
    <w:rsid w:val="002126BF"/>
    <w:rsid w:val="002131AF"/>
    <w:rsid w:val="00234CEA"/>
    <w:rsid w:val="00237A0F"/>
    <w:rsid w:val="00241889"/>
    <w:rsid w:val="002446C1"/>
    <w:rsid w:val="00260125"/>
    <w:rsid w:val="00261909"/>
    <w:rsid w:val="00264389"/>
    <w:rsid w:val="00264954"/>
    <w:rsid w:val="00264E88"/>
    <w:rsid w:val="002834EF"/>
    <w:rsid w:val="00284E45"/>
    <w:rsid w:val="002A26D3"/>
    <w:rsid w:val="002B0DBD"/>
    <w:rsid w:val="002B460B"/>
    <w:rsid w:val="002B642B"/>
    <w:rsid w:val="002C45E8"/>
    <w:rsid w:val="002D3869"/>
    <w:rsid w:val="002D3F87"/>
    <w:rsid w:val="002D700D"/>
    <w:rsid w:val="002E4A52"/>
    <w:rsid w:val="002F511F"/>
    <w:rsid w:val="00303432"/>
    <w:rsid w:val="0030494C"/>
    <w:rsid w:val="0032195D"/>
    <w:rsid w:val="00326176"/>
    <w:rsid w:val="00334507"/>
    <w:rsid w:val="00342D33"/>
    <w:rsid w:val="0034348B"/>
    <w:rsid w:val="00344D26"/>
    <w:rsid w:val="00351F3C"/>
    <w:rsid w:val="00354C87"/>
    <w:rsid w:val="003723C7"/>
    <w:rsid w:val="00382045"/>
    <w:rsid w:val="00385638"/>
    <w:rsid w:val="003860E4"/>
    <w:rsid w:val="00386315"/>
    <w:rsid w:val="00387EDE"/>
    <w:rsid w:val="00390B11"/>
    <w:rsid w:val="003927B6"/>
    <w:rsid w:val="00394EF9"/>
    <w:rsid w:val="00397EC4"/>
    <w:rsid w:val="003A1B07"/>
    <w:rsid w:val="003A6194"/>
    <w:rsid w:val="003C2D79"/>
    <w:rsid w:val="003D4626"/>
    <w:rsid w:val="003D5DCA"/>
    <w:rsid w:val="003E0F23"/>
    <w:rsid w:val="003E7B53"/>
    <w:rsid w:val="003F4FC8"/>
    <w:rsid w:val="003F60CD"/>
    <w:rsid w:val="003F6633"/>
    <w:rsid w:val="003F6B4F"/>
    <w:rsid w:val="003F7394"/>
    <w:rsid w:val="003F7DAF"/>
    <w:rsid w:val="0041043E"/>
    <w:rsid w:val="00411130"/>
    <w:rsid w:val="00411FBE"/>
    <w:rsid w:val="00412387"/>
    <w:rsid w:val="00420D61"/>
    <w:rsid w:val="00424DE7"/>
    <w:rsid w:val="004328CC"/>
    <w:rsid w:val="00432952"/>
    <w:rsid w:val="00434384"/>
    <w:rsid w:val="0043500F"/>
    <w:rsid w:val="004408BD"/>
    <w:rsid w:val="00443B42"/>
    <w:rsid w:val="0044539B"/>
    <w:rsid w:val="00453D6B"/>
    <w:rsid w:val="00472E0E"/>
    <w:rsid w:val="00474E1C"/>
    <w:rsid w:val="004766BC"/>
    <w:rsid w:val="0048075C"/>
    <w:rsid w:val="00481F24"/>
    <w:rsid w:val="004832EB"/>
    <w:rsid w:val="00483A2B"/>
    <w:rsid w:val="00483E40"/>
    <w:rsid w:val="0049153B"/>
    <w:rsid w:val="00492414"/>
    <w:rsid w:val="004B59BB"/>
    <w:rsid w:val="004C0F5F"/>
    <w:rsid w:val="004C6BFC"/>
    <w:rsid w:val="004C7FB4"/>
    <w:rsid w:val="004D0A69"/>
    <w:rsid w:val="004D3DC0"/>
    <w:rsid w:val="004E0739"/>
    <w:rsid w:val="004E377E"/>
    <w:rsid w:val="004F484F"/>
    <w:rsid w:val="004F56B0"/>
    <w:rsid w:val="004F7F8E"/>
    <w:rsid w:val="005031A6"/>
    <w:rsid w:val="005049FE"/>
    <w:rsid w:val="00504EB5"/>
    <w:rsid w:val="005148A8"/>
    <w:rsid w:val="00517767"/>
    <w:rsid w:val="00526C4B"/>
    <w:rsid w:val="00535617"/>
    <w:rsid w:val="005367D2"/>
    <w:rsid w:val="00537206"/>
    <w:rsid w:val="00544F57"/>
    <w:rsid w:val="00547035"/>
    <w:rsid w:val="0055013F"/>
    <w:rsid w:val="00551137"/>
    <w:rsid w:val="00554355"/>
    <w:rsid w:val="00567C63"/>
    <w:rsid w:val="0057058E"/>
    <w:rsid w:val="00570E51"/>
    <w:rsid w:val="005730F5"/>
    <w:rsid w:val="00574DD2"/>
    <w:rsid w:val="0057575B"/>
    <w:rsid w:val="005772DB"/>
    <w:rsid w:val="00582D71"/>
    <w:rsid w:val="00583C23"/>
    <w:rsid w:val="005846A6"/>
    <w:rsid w:val="00585C36"/>
    <w:rsid w:val="00586120"/>
    <w:rsid w:val="00590DF9"/>
    <w:rsid w:val="00592578"/>
    <w:rsid w:val="00593907"/>
    <w:rsid w:val="00593DE8"/>
    <w:rsid w:val="005A1DD5"/>
    <w:rsid w:val="005B02BC"/>
    <w:rsid w:val="005B0FBA"/>
    <w:rsid w:val="005B11FF"/>
    <w:rsid w:val="005B20D4"/>
    <w:rsid w:val="005C0324"/>
    <w:rsid w:val="005C2E1D"/>
    <w:rsid w:val="005C30C3"/>
    <w:rsid w:val="005C4F04"/>
    <w:rsid w:val="005D0821"/>
    <w:rsid w:val="005D3982"/>
    <w:rsid w:val="005D448F"/>
    <w:rsid w:val="005D4B77"/>
    <w:rsid w:val="005D5C20"/>
    <w:rsid w:val="005D7898"/>
    <w:rsid w:val="005E23FB"/>
    <w:rsid w:val="005E73A6"/>
    <w:rsid w:val="005F0197"/>
    <w:rsid w:val="005F48A2"/>
    <w:rsid w:val="005F62BA"/>
    <w:rsid w:val="005F64DD"/>
    <w:rsid w:val="005F6C31"/>
    <w:rsid w:val="00604923"/>
    <w:rsid w:val="0061452A"/>
    <w:rsid w:val="00617772"/>
    <w:rsid w:val="00621C26"/>
    <w:rsid w:val="00630B94"/>
    <w:rsid w:val="00641242"/>
    <w:rsid w:val="006539EA"/>
    <w:rsid w:val="00660D11"/>
    <w:rsid w:val="00661086"/>
    <w:rsid w:val="006630FD"/>
    <w:rsid w:val="00663D95"/>
    <w:rsid w:val="00664BCD"/>
    <w:rsid w:val="00674C55"/>
    <w:rsid w:val="00691DBC"/>
    <w:rsid w:val="00692C18"/>
    <w:rsid w:val="00694CA1"/>
    <w:rsid w:val="00694E70"/>
    <w:rsid w:val="00696E80"/>
    <w:rsid w:val="0069794D"/>
    <w:rsid w:val="006A76DC"/>
    <w:rsid w:val="006C6457"/>
    <w:rsid w:val="006D0519"/>
    <w:rsid w:val="006D0990"/>
    <w:rsid w:val="006D4806"/>
    <w:rsid w:val="006E2B1C"/>
    <w:rsid w:val="006E5E68"/>
    <w:rsid w:val="006F0D5B"/>
    <w:rsid w:val="006F41BB"/>
    <w:rsid w:val="006F7C5D"/>
    <w:rsid w:val="00701F9E"/>
    <w:rsid w:val="0070520E"/>
    <w:rsid w:val="007069F2"/>
    <w:rsid w:val="00707D79"/>
    <w:rsid w:val="0071348B"/>
    <w:rsid w:val="00715156"/>
    <w:rsid w:val="007233BA"/>
    <w:rsid w:val="0072722D"/>
    <w:rsid w:val="00732275"/>
    <w:rsid w:val="00732DD1"/>
    <w:rsid w:val="00740AB3"/>
    <w:rsid w:val="00744558"/>
    <w:rsid w:val="00745CAA"/>
    <w:rsid w:val="007525B0"/>
    <w:rsid w:val="00756831"/>
    <w:rsid w:val="00770176"/>
    <w:rsid w:val="007706CF"/>
    <w:rsid w:val="007749BB"/>
    <w:rsid w:val="007933A0"/>
    <w:rsid w:val="007B1927"/>
    <w:rsid w:val="007B3194"/>
    <w:rsid w:val="007C007E"/>
    <w:rsid w:val="007C2949"/>
    <w:rsid w:val="007D3DD1"/>
    <w:rsid w:val="007E4CA9"/>
    <w:rsid w:val="007E6476"/>
    <w:rsid w:val="007F54AA"/>
    <w:rsid w:val="00801015"/>
    <w:rsid w:val="00801B88"/>
    <w:rsid w:val="00807E31"/>
    <w:rsid w:val="00810BE2"/>
    <w:rsid w:val="0081117E"/>
    <w:rsid w:val="00814172"/>
    <w:rsid w:val="00816A8A"/>
    <w:rsid w:val="008204AB"/>
    <w:rsid w:val="00825C47"/>
    <w:rsid w:val="00825E23"/>
    <w:rsid w:val="0082600D"/>
    <w:rsid w:val="00832B9C"/>
    <w:rsid w:val="00835751"/>
    <w:rsid w:val="00836CCA"/>
    <w:rsid w:val="008436A4"/>
    <w:rsid w:val="00845A13"/>
    <w:rsid w:val="00845C97"/>
    <w:rsid w:val="00847F35"/>
    <w:rsid w:val="00850928"/>
    <w:rsid w:val="008547F5"/>
    <w:rsid w:val="00855E14"/>
    <w:rsid w:val="00871F53"/>
    <w:rsid w:val="00872813"/>
    <w:rsid w:val="0088461D"/>
    <w:rsid w:val="00891428"/>
    <w:rsid w:val="00892B3B"/>
    <w:rsid w:val="00897477"/>
    <w:rsid w:val="008A0FA6"/>
    <w:rsid w:val="008A59E4"/>
    <w:rsid w:val="008C2FFE"/>
    <w:rsid w:val="008C56A4"/>
    <w:rsid w:val="008C6D9C"/>
    <w:rsid w:val="008D058E"/>
    <w:rsid w:val="008D3224"/>
    <w:rsid w:val="008D4EF6"/>
    <w:rsid w:val="008D505F"/>
    <w:rsid w:val="008E1BE1"/>
    <w:rsid w:val="008E5215"/>
    <w:rsid w:val="008F0F70"/>
    <w:rsid w:val="008F4F5C"/>
    <w:rsid w:val="0090309F"/>
    <w:rsid w:val="009129E6"/>
    <w:rsid w:val="00916695"/>
    <w:rsid w:val="00916E6E"/>
    <w:rsid w:val="00922B96"/>
    <w:rsid w:val="009249E3"/>
    <w:rsid w:val="00933625"/>
    <w:rsid w:val="00935190"/>
    <w:rsid w:val="00936EA5"/>
    <w:rsid w:val="00937FCB"/>
    <w:rsid w:val="00940B44"/>
    <w:rsid w:val="0094143F"/>
    <w:rsid w:val="00945BE8"/>
    <w:rsid w:val="00946954"/>
    <w:rsid w:val="0095145E"/>
    <w:rsid w:val="00952E68"/>
    <w:rsid w:val="00953D67"/>
    <w:rsid w:val="00954114"/>
    <w:rsid w:val="00955960"/>
    <w:rsid w:val="00960DA6"/>
    <w:rsid w:val="00966A88"/>
    <w:rsid w:val="00967C6F"/>
    <w:rsid w:val="00971CF5"/>
    <w:rsid w:val="00972DB8"/>
    <w:rsid w:val="009751C7"/>
    <w:rsid w:val="00975E2F"/>
    <w:rsid w:val="009836DD"/>
    <w:rsid w:val="009859D0"/>
    <w:rsid w:val="009922B6"/>
    <w:rsid w:val="009930A1"/>
    <w:rsid w:val="00994E3F"/>
    <w:rsid w:val="009A12CE"/>
    <w:rsid w:val="009A44E5"/>
    <w:rsid w:val="009B26B7"/>
    <w:rsid w:val="009C7BC8"/>
    <w:rsid w:val="009D7EA9"/>
    <w:rsid w:val="009E0650"/>
    <w:rsid w:val="009E54B0"/>
    <w:rsid w:val="009F1450"/>
    <w:rsid w:val="009F30F1"/>
    <w:rsid w:val="009F35BC"/>
    <w:rsid w:val="009F750D"/>
    <w:rsid w:val="00A0496F"/>
    <w:rsid w:val="00A10F97"/>
    <w:rsid w:val="00A15B47"/>
    <w:rsid w:val="00A16587"/>
    <w:rsid w:val="00A2224D"/>
    <w:rsid w:val="00A33D7D"/>
    <w:rsid w:val="00A36DB6"/>
    <w:rsid w:val="00A374B2"/>
    <w:rsid w:val="00A47FA1"/>
    <w:rsid w:val="00A526FB"/>
    <w:rsid w:val="00A55C5C"/>
    <w:rsid w:val="00A576C5"/>
    <w:rsid w:val="00A64B50"/>
    <w:rsid w:val="00A6692F"/>
    <w:rsid w:val="00A71C98"/>
    <w:rsid w:val="00A72CE5"/>
    <w:rsid w:val="00A8300A"/>
    <w:rsid w:val="00A849BB"/>
    <w:rsid w:val="00A863F0"/>
    <w:rsid w:val="00A877DF"/>
    <w:rsid w:val="00A932CB"/>
    <w:rsid w:val="00A9406B"/>
    <w:rsid w:val="00A95A87"/>
    <w:rsid w:val="00AA0866"/>
    <w:rsid w:val="00AA0FD5"/>
    <w:rsid w:val="00AA306D"/>
    <w:rsid w:val="00AA3C2C"/>
    <w:rsid w:val="00AA3E9A"/>
    <w:rsid w:val="00AA6F40"/>
    <w:rsid w:val="00AB631F"/>
    <w:rsid w:val="00AC6FA8"/>
    <w:rsid w:val="00AE0CB2"/>
    <w:rsid w:val="00AE6F91"/>
    <w:rsid w:val="00AF4E7D"/>
    <w:rsid w:val="00B133D7"/>
    <w:rsid w:val="00B22C8B"/>
    <w:rsid w:val="00B22FDD"/>
    <w:rsid w:val="00B24912"/>
    <w:rsid w:val="00B320AE"/>
    <w:rsid w:val="00B47E96"/>
    <w:rsid w:val="00B560EF"/>
    <w:rsid w:val="00B609A4"/>
    <w:rsid w:val="00B64B66"/>
    <w:rsid w:val="00B65AFD"/>
    <w:rsid w:val="00B65DF1"/>
    <w:rsid w:val="00B753E5"/>
    <w:rsid w:val="00B759A4"/>
    <w:rsid w:val="00B85C6F"/>
    <w:rsid w:val="00B94D9D"/>
    <w:rsid w:val="00B97450"/>
    <w:rsid w:val="00B97955"/>
    <w:rsid w:val="00BA12BA"/>
    <w:rsid w:val="00BA213F"/>
    <w:rsid w:val="00BA70FD"/>
    <w:rsid w:val="00BA7B7C"/>
    <w:rsid w:val="00BA7C53"/>
    <w:rsid w:val="00BB0633"/>
    <w:rsid w:val="00BB4F99"/>
    <w:rsid w:val="00BB57E0"/>
    <w:rsid w:val="00BB6752"/>
    <w:rsid w:val="00BC00D6"/>
    <w:rsid w:val="00BC0594"/>
    <w:rsid w:val="00BD0077"/>
    <w:rsid w:val="00BD0463"/>
    <w:rsid w:val="00BD10E3"/>
    <w:rsid w:val="00BD2074"/>
    <w:rsid w:val="00BD66E9"/>
    <w:rsid w:val="00BD7813"/>
    <w:rsid w:val="00BE5B46"/>
    <w:rsid w:val="00BF0156"/>
    <w:rsid w:val="00BF2908"/>
    <w:rsid w:val="00C011C9"/>
    <w:rsid w:val="00C03D8D"/>
    <w:rsid w:val="00C051D3"/>
    <w:rsid w:val="00C1349E"/>
    <w:rsid w:val="00C1632A"/>
    <w:rsid w:val="00C1689E"/>
    <w:rsid w:val="00C1770C"/>
    <w:rsid w:val="00C2287A"/>
    <w:rsid w:val="00C30060"/>
    <w:rsid w:val="00C30E73"/>
    <w:rsid w:val="00C34284"/>
    <w:rsid w:val="00C350D3"/>
    <w:rsid w:val="00C4230B"/>
    <w:rsid w:val="00C440EE"/>
    <w:rsid w:val="00C50DA2"/>
    <w:rsid w:val="00C514D4"/>
    <w:rsid w:val="00C5566E"/>
    <w:rsid w:val="00C558E3"/>
    <w:rsid w:val="00C5797B"/>
    <w:rsid w:val="00C62789"/>
    <w:rsid w:val="00C63B2A"/>
    <w:rsid w:val="00C67903"/>
    <w:rsid w:val="00C900EF"/>
    <w:rsid w:val="00C91060"/>
    <w:rsid w:val="00C92E41"/>
    <w:rsid w:val="00C95493"/>
    <w:rsid w:val="00C973B5"/>
    <w:rsid w:val="00CA0BA0"/>
    <w:rsid w:val="00CA42C2"/>
    <w:rsid w:val="00CA5E8E"/>
    <w:rsid w:val="00CB3C85"/>
    <w:rsid w:val="00CB5401"/>
    <w:rsid w:val="00CB60B0"/>
    <w:rsid w:val="00CB694F"/>
    <w:rsid w:val="00CC1CB1"/>
    <w:rsid w:val="00CC1CC8"/>
    <w:rsid w:val="00CC4B61"/>
    <w:rsid w:val="00CC5499"/>
    <w:rsid w:val="00CC5950"/>
    <w:rsid w:val="00CC7DB8"/>
    <w:rsid w:val="00CD1069"/>
    <w:rsid w:val="00CE19C0"/>
    <w:rsid w:val="00CE22B5"/>
    <w:rsid w:val="00CF20E2"/>
    <w:rsid w:val="00CF28E7"/>
    <w:rsid w:val="00CF768C"/>
    <w:rsid w:val="00D0189E"/>
    <w:rsid w:val="00D01C3D"/>
    <w:rsid w:val="00D07EA4"/>
    <w:rsid w:val="00D1063B"/>
    <w:rsid w:val="00D1132B"/>
    <w:rsid w:val="00D123D9"/>
    <w:rsid w:val="00D137B3"/>
    <w:rsid w:val="00D203C4"/>
    <w:rsid w:val="00D22738"/>
    <w:rsid w:val="00D266F8"/>
    <w:rsid w:val="00D34094"/>
    <w:rsid w:val="00D340D1"/>
    <w:rsid w:val="00D346D3"/>
    <w:rsid w:val="00D35A0C"/>
    <w:rsid w:val="00D37690"/>
    <w:rsid w:val="00D42095"/>
    <w:rsid w:val="00D50DC3"/>
    <w:rsid w:val="00D5228C"/>
    <w:rsid w:val="00D532D4"/>
    <w:rsid w:val="00D60339"/>
    <w:rsid w:val="00D76385"/>
    <w:rsid w:val="00D8624A"/>
    <w:rsid w:val="00DA1F04"/>
    <w:rsid w:val="00DA24D4"/>
    <w:rsid w:val="00DB5916"/>
    <w:rsid w:val="00DC3143"/>
    <w:rsid w:val="00DC3642"/>
    <w:rsid w:val="00DC48EE"/>
    <w:rsid w:val="00DE11B1"/>
    <w:rsid w:val="00DE3D08"/>
    <w:rsid w:val="00DE567B"/>
    <w:rsid w:val="00DF05EE"/>
    <w:rsid w:val="00E0049A"/>
    <w:rsid w:val="00E009F1"/>
    <w:rsid w:val="00E03403"/>
    <w:rsid w:val="00E039AB"/>
    <w:rsid w:val="00E067AD"/>
    <w:rsid w:val="00E1123F"/>
    <w:rsid w:val="00E173F9"/>
    <w:rsid w:val="00E33F10"/>
    <w:rsid w:val="00E41702"/>
    <w:rsid w:val="00E45431"/>
    <w:rsid w:val="00E50574"/>
    <w:rsid w:val="00E509E0"/>
    <w:rsid w:val="00E53214"/>
    <w:rsid w:val="00E56AEA"/>
    <w:rsid w:val="00E57720"/>
    <w:rsid w:val="00E6038D"/>
    <w:rsid w:val="00E665CD"/>
    <w:rsid w:val="00E7143F"/>
    <w:rsid w:val="00E73F6D"/>
    <w:rsid w:val="00E74F2B"/>
    <w:rsid w:val="00E822D8"/>
    <w:rsid w:val="00E869B4"/>
    <w:rsid w:val="00E92214"/>
    <w:rsid w:val="00E94836"/>
    <w:rsid w:val="00EA4FCF"/>
    <w:rsid w:val="00EA5B1C"/>
    <w:rsid w:val="00EA716C"/>
    <w:rsid w:val="00EC07F6"/>
    <w:rsid w:val="00EC314E"/>
    <w:rsid w:val="00EC36F8"/>
    <w:rsid w:val="00EC4F22"/>
    <w:rsid w:val="00ED1A05"/>
    <w:rsid w:val="00ED2DB6"/>
    <w:rsid w:val="00ED59A2"/>
    <w:rsid w:val="00EE2525"/>
    <w:rsid w:val="00EE5B34"/>
    <w:rsid w:val="00F05053"/>
    <w:rsid w:val="00F05E8B"/>
    <w:rsid w:val="00F20F05"/>
    <w:rsid w:val="00F22516"/>
    <w:rsid w:val="00F24F9D"/>
    <w:rsid w:val="00F25AD1"/>
    <w:rsid w:val="00F32B45"/>
    <w:rsid w:val="00F3390C"/>
    <w:rsid w:val="00F402F9"/>
    <w:rsid w:val="00F513E3"/>
    <w:rsid w:val="00F60E97"/>
    <w:rsid w:val="00F61482"/>
    <w:rsid w:val="00F63D2B"/>
    <w:rsid w:val="00F66331"/>
    <w:rsid w:val="00F701C9"/>
    <w:rsid w:val="00F771F9"/>
    <w:rsid w:val="00F779D4"/>
    <w:rsid w:val="00F818F0"/>
    <w:rsid w:val="00F842CF"/>
    <w:rsid w:val="00F92377"/>
    <w:rsid w:val="00F94D45"/>
    <w:rsid w:val="00FA301B"/>
    <w:rsid w:val="00FA4881"/>
    <w:rsid w:val="00FB108A"/>
    <w:rsid w:val="00FB1396"/>
    <w:rsid w:val="00FB37A6"/>
    <w:rsid w:val="00FC3A0C"/>
    <w:rsid w:val="00FC6B93"/>
    <w:rsid w:val="00FD099C"/>
    <w:rsid w:val="00FD3AE1"/>
    <w:rsid w:val="00FD3FAD"/>
    <w:rsid w:val="00FD47E2"/>
    <w:rsid w:val="00FD784D"/>
    <w:rsid w:val="00FD7A55"/>
    <w:rsid w:val="00FE240A"/>
    <w:rsid w:val="00FE5334"/>
    <w:rsid w:val="00FF3A1F"/>
    <w:rsid w:val="00FF3A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01994"/>
  <w15:docId w15:val="{ABC72005-5E61-4A16-9A9F-DBD3586ED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C5D"/>
    <w:rPr>
      <w:sz w:val="24"/>
      <w:szCs w:val="24"/>
    </w:rPr>
  </w:style>
  <w:style w:type="paragraph" w:styleId="Heading1">
    <w:name w:val="heading 1"/>
    <w:basedOn w:val="Normal"/>
    <w:next w:val="Normal"/>
    <w:qFormat/>
    <w:rsid w:val="006F7C5D"/>
    <w:pPr>
      <w:keepNext/>
      <w:outlineLvl w:val="0"/>
    </w:pPr>
    <w:rPr>
      <w:rFonts w:ascii="Arial" w:hAnsi="Arial"/>
      <w:i/>
      <w:iCs/>
      <w:sz w:val="20"/>
    </w:rPr>
  </w:style>
  <w:style w:type="paragraph" w:styleId="Heading2">
    <w:name w:val="heading 2"/>
    <w:basedOn w:val="Normal"/>
    <w:next w:val="Normal"/>
    <w:qFormat/>
    <w:rsid w:val="006F7C5D"/>
    <w:pPr>
      <w:keepNext/>
      <w:outlineLvl w:val="1"/>
    </w:pPr>
    <w:rPr>
      <w:rFonts w:ascii="Arial" w:hAnsi="Arial"/>
      <w:b/>
      <w:bCs/>
      <w:sz w:val="16"/>
    </w:rPr>
  </w:style>
  <w:style w:type="paragraph" w:styleId="Heading5">
    <w:name w:val="heading 5"/>
    <w:basedOn w:val="Normal"/>
    <w:next w:val="Normal"/>
    <w:qFormat/>
    <w:rsid w:val="00D266F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7C5D"/>
    <w:pPr>
      <w:tabs>
        <w:tab w:val="left" w:pos="578"/>
        <w:tab w:val="left" w:pos="3131"/>
        <w:tab w:val="left" w:pos="5607"/>
        <w:tab w:val="left" w:pos="8082"/>
        <w:tab w:val="left" w:pos="9611"/>
      </w:tabs>
      <w:ind w:left="-79"/>
      <w:jc w:val="center"/>
    </w:pPr>
    <w:rPr>
      <w:rFonts w:ascii="Arial" w:hAnsi="Arial"/>
      <w:b/>
      <w:bCs/>
    </w:rPr>
  </w:style>
  <w:style w:type="paragraph" w:styleId="Subtitle">
    <w:name w:val="Subtitle"/>
    <w:basedOn w:val="Normal"/>
    <w:qFormat/>
    <w:rsid w:val="006F7C5D"/>
    <w:pPr>
      <w:tabs>
        <w:tab w:val="left" w:pos="578"/>
        <w:tab w:val="left" w:pos="3131"/>
        <w:tab w:val="left" w:pos="5607"/>
        <w:tab w:val="left" w:pos="8082"/>
        <w:tab w:val="left" w:pos="9611"/>
      </w:tabs>
      <w:ind w:left="-79"/>
      <w:jc w:val="center"/>
    </w:pPr>
    <w:rPr>
      <w:rFonts w:ascii="Arial" w:hAnsi="Arial"/>
      <w:b/>
      <w:bCs/>
    </w:rPr>
  </w:style>
  <w:style w:type="paragraph" w:styleId="BlockText">
    <w:name w:val="Block Text"/>
    <w:basedOn w:val="Normal"/>
    <w:rsid w:val="006F7C5D"/>
    <w:pPr>
      <w:tabs>
        <w:tab w:val="left" w:pos="578"/>
        <w:tab w:val="left" w:pos="3131"/>
        <w:tab w:val="left" w:pos="5607"/>
        <w:tab w:val="left" w:pos="8082"/>
      </w:tabs>
      <w:ind w:left="578" w:right="-25"/>
    </w:pPr>
    <w:rPr>
      <w:rFonts w:ascii="Arial" w:hAnsi="Arial"/>
      <w:sz w:val="16"/>
    </w:rPr>
  </w:style>
  <w:style w:type="character" w:styleId="Hyperlink">
    <w:name w:val="Hyperlink"/>
    <w:basedOn w:val="DefaultParagraphFont"/>
    <w:rsid w:val="006F7C5D"/>
    <w:rPr>
      <w:color w:val="0000FF"/>
      <w:u w:val="single"/>
    </w:rPr>
  </w:style>
  <w:style w:type="character" w:styleId="FollowedHyperlink">
    <w:name w:val="FollowedHyperlink"/>
    <w:basedOn w:val="DefaultParagraphFont"/>
    <w:rsid w:val="006F7C5D"/>
    <w:rPr>
      <w:color w:val="800080"/>
      <w:u w:val="single"/>
    </w:rPr>
  </w:style>
  <w:style w:type="table" w:styleId="TableGrid">
    <w:name w:val="Table Grid"/>
    <w:basedOn w:val="TableNormal"/>
    <w:rsid w:val="00D340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484F"/>
    <w:pPr>
      <w:ind w:left="720"/>
      <w:contextualSpacing/>
    </w:pPr>
  </w:style>
  <w:style w:type="paragraph" w:styleId="BalloonText">
    <w:name w:val="Balloon Text"/>
    <w:basedOn w:val="Normal"/>
    <w:link w:val="BalloonTextChar"/>
    <w:uiPriority w:val="99"/>
    <w:semiHidden/>
    <w:unhideWhenUsed/>
    <w:rsid w:val="00547035"/>
    <w:rPr>
      <w:rFonts w:ascii="Tahoma" w:hAnsi="Tahoma" w:cs="Tahoma"/>
      <w:sz w:val="16"/>
      <w:szCs w:val="16"/>
    </w:rPr>
  </w:style>
  <w:style w:type="character" w:customStyle="1" w:styleId="BalloonTextChar">
    <w:name w:val="Balloon Text Char"/>
    <w:basedOn w:val="DefaultParagraphFont"/>
    <w:link w:val="BalloonText"/>
    <w:uiPriority w:val="99"/>
    <w:semiHidden/>
    <w:rsid w:val="00547035"/>
    <w:rPr>
      <w:rFonts w:ascii="Tahoma" w:hAnsi="Tahoma" w:cs="Tahoma"/>
      <w:sz w:val="16"/>
      <w:szCs w:val="16"/>
    </w:rPr>
  </w:style>
  <w:style w:type="paragraph" w:styleId="NormalWeb">
    <w:name w:val="Normal (Web)"/>
    <w:basedOn w:val="Normal"/>
    <w:rsid w:val="006F0D5B"/>
    <w:pPr>
      <w:spacing w:before="100" w:beforeAutospacing="1" w:after="100" w:afterAutospacing="1"/>
    </w:pPr>
  </w:style>
  <w:style w:type="paragraph" w:customStyle="1" w:styleId="Default">
    <w:name w:val="Default"/>
    <w:rsid w:val="00B65AF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2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Academic%20Works\UMT\Modern%20Microprocessor%20Systems\Course%20Outline\EE224-CO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0D992-98A5-4EE2-BDD0-E89C43559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EE224-COA</Template>
  <TotalTime>565</TotalTime>
  <Pages>1</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EE501:Stochastic Processes</vt:lpstr>
    </vt:vector>
  </TitlesOfParts>
  <Company>Institute of Management and Technology</Company>
  <LinksUpToDate>false</LinksUpToDate>
  <CharactersWithSpaces>4469</CharactersWithSpaces>
  <SharedDoc>false</SharedDoc>
  <HLinks>
    <vt:vector size="12" baseType="variant">
      <vt:variant>
        <vt:i4>3538976</vt:i4>
      </vt:variant>
      <vt:variant>
        <vt:i4>3</vt:i4>
      </vt:variant>
      <vt:variant>
        <vt:i4>0</vt:i4>
      </vt:variant>
      <vt:variant>
        <vt:i4>5</vt:i4>
      </vt:variant>
      <vt:variant>
        <vt:lpwstr>http://www.exampleessays.com/essay_search/engineering_fields.html</vt:lpwstr>
      </vt:variant>
      <vt:variant>
        <vt:lpwstr/>
      </vt:variant>
      <vt:variant>
        <vt:i4>2752587</vt:i4>
      </vt:variant>
      <vt:variant>
        <vt:i4>0</vt:i4>
      </vt:variant>
      <vt:variant>
        <vt:i4>0</vt:i4>
      </vt:variant>
      <vt:variant>
        <vt:i4>5</vt:i4>
      </vt:variant>
      <vt:variant>
        <vt:lpwstr>mailto:hamid.raza@.umt.edu.pk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EE501:Stochastic Processes</dc:title>
  <dc:subject>Course Outline</dc:subject>
  <dc:creator>Muhammad Bilal</dc:creator>
  <cp:keywords/>
  <cp:lastModifiedBy>HAMID RAZA</cp:lastModifiedBy>
  <cp:revision>74</cp:revision>
  <cp:lastPrinted>2015-03-20T07:18:00Z</cp:lastPrinted>
  <dcterms:created xsi:type="dcterms:W3CDTF">2014-02-19T10:10:00Z</dcterms:created>
  <dcterms:modified xsi:type="dcterms:W3CDTF">2021-04-07T07:20:00Z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1489720434</vt:i4>
  </property>
  <property fmtid="{D5CDD505-2E9C-101B-9397-08002B2CF9AE}" pid="3" name="_EmailSubject">
    <vt:lpwstr/>
  </property>
  <property fmtid="{D5CDD505-2E9C-101B-9397-08002B2CF9AE}" pid="4" name="_AuthorEmail">
    <vt:lpwstr>aloan@umt.edu.pk</vt:lpwstr>
  </property>
  <property fmtid="{D5CDD505-2E9C-101B-9397-08002B2CF9AE}" pid="5" name="_AuthorEmailDisplayName">
    <vt:lpwstr>Asim Loan</vt:lpwstr>
  </property>
  <property fmtid="{D5CDD505-2E9C-101B-9397-08002B2CF9AE}" pid="6" name="_ReviewingToolsShownOnce">
    <vt:lpwstr/>
  </property>
</Properties>
</file>