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9"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800"/>
        <w:gridCol w:w="4140"/>
        <w:gridCol w:w="339"/>
        <w:gridCol w:w="1170"/>
        <w:gridCol w:w="3420"/>
      </w:tblGrid>
      <w:tr w:rsidR="00547035" w:rsidRPr="00FB1B18" w:rsidTr="00540AD8">
        <w:trPr>
          <w:trHeight w:hRule="exact" w:val="1440"/>
        </w:trPr>
        <w:tc>
          <w:tcPr>
            <w:tcW w:w="10869" w:type="dxa"/>
            <w:gridSpan w:val="5"/>
            <w:tcBorders>
              <w:top w:val="double" w:sz="4" w:space="0" w:color="auto"/>
              <w:bottom w:val="double" w:sz="4" w:space="0" w:color="auto"/>
            </w:tcBorders>
            <w:tcMar>
              <w:top w:w="144" w:type="dxa"/>
              <w:left w:w="144" w:type="dxa"/>
              <w:bottom w:w="144" w:type="dxa"/>
              <w:right w:w="144" w:type="dxa"/>
            </w:tcMar>
            <w:vAlign w:val="center"/>
          </w:tcPr>
          <w:p w:rsidR="00547035" w:rsidRPr="00FB1B18" w:rsidRDefault="009070D8" w:rsidP="003F6B4F">
            <w:pPr>
              <w:rPr>
                <w:b/>
                <w:sz w:val="40"/>
                <w:szCs w:val="40"/>
              </w:rPr>
            </w:pPr>
            <w:r>
              <w:rPr>
                <w:b/>
                <w:noProof/>
                <w:sz w:val="36"/>
                <w:szCs w:val="40"/>
              </w:rPr>
              <w:drawing>
                <wp:anchor distT="0" distB="0" distL="114300" distR="114300" simplePos="0" relativeHeight="251657216"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3F6B4F" w:rsidRPr="00FB1B18">
              <w:rPr>
                <w:b/>
                <w:sz w:val="36"/>
                <w:szCs w:val="40"/>
              </w:rPr>
              <w:t xml:space="preserve">                </w:t>
            </w:r>
            <w:r w:rsidR="00547035" w:rsidRPr="00FB1B18">
              <w:rPr>
                <w:b/>
                <w:sz w:val="36"/>
                <w:szCs w:val="40"/>
              </w:rPr>
              <w:t>University of Management &amp; Technology</w:t>
            </w:r>
          </w:p>
          <w:p w:rsidR="00547035" w:rsidRPr="00FB1B18" w:rsidRDefault="003F6B4F" w:rsidP="003F6B4F">
            <w:pPr>
              <w:rPr>
                <w:sz w:val="36"/>
                <w:szCs w:val="40"/>
              </w:rPr>
            </w:pPr>
            <w:r w:rsidRPr="00FB1B18">
              <w:rPr>
                <w:sz w:val="36"/>
                <w:szCs w:val="40"/>
              </w:rPr>
              <w:t xml:space="preserve">                        </w:t>
            </w:r>
            <w:r w:rsidR="00547035" w:rsidRPr="00FB1B18">
              <w:rPr>
                <w:sz w:val="36"/>
                <w:szCs w:val="40"/>
              </w:rPr>
              <w:t xml:space="preserve">School of </w:t>
            </w:r>
            <w:r w:rsidR="00807E31" w:rsidRPr="00FB1B18">
              <w:rPr>
                <w:sz w:val="36"/>
                <w:szCs w:val="40"/>
              </w:rPr>
              <w:t xml:space="preserve">Science </w:t>
            </w:r>
          </w:p>
          <w:p w:rsidR="00547035" w:rsidRPr="00FB1B18" w:rsidRDefault="00B9692C" w:rsidP="00B9692C">
            <w:pPr>
              <w:rPr>
                <w:b/>
                <w:sz w:val="32"/>
                <w:szCs w:val="32"/>
              </w:rPr>
            </w:pPr>
            <w:r>
              <w:rPr>
                <w:b/>
                <w:sz w:val="32"/>
                <w:szCs w:val="32"/>
              </w:rPr>
              <w:t xml:space="preserve">                      </w:t>
            </w:r>
            <w:r w:rsidR="00547035" w:rsidRPr="00FB1B18">
              <w:rPr>
                <w:b/>
                <w:sz w:val="32"/>
                <w:szCs w:val="32"/>
              </w:rPr>
              <w:t xml:space="preserve">Department of </w:t>
            </w:r>
            <w:r w:rsidR="009D6512" w:rsidRPr="00FB1B18">
              <w:rPr>
                <w:b/>
                <w:sz w:val="32"/>
                <w:szCs w:val="32"/>
              </w:rPr>
              <w:t>Chemistry</w:t>
            </w:r>
          </w:p>
          <w:p w:rsidR="00547035" w:rsidRPr="00FB1B18" w:rsidRDefault="00547035" w:rsidP="00547035">
            <w:pPr>
              <w:pStyle w:val="Title"/>
              <w:spacing w:after="200"/>
              <w:ind w:left="0"/>
              <w:jc w:val="left"/>
              <w:rPr>
                <w:rFonts w:ascii="Times New Roman" w:hAnsi="Times New Roman"/>
                <w:sz w:val="38"/>
                <w:szCs w:val="32"/>
              </w:rPr>
            </w:pPr>
          </w:p>
        </w:tc>
      </w:tr>
      <w:tr w:rsidR="00A55C5C" w:rsidRPr="00FB1B18" w:rsidTr="00540AD8">
        <w:trPr>
          <w:trHeight w:val="144"/>
        </w:trPr>
        <w:tc>
          <w:tcPr>
            <w:tcW w:w="10869" w:type="dxa"/>
            <w:gridSpan w:val="5"/>
            <w:tcBorders>
              <w:top w:val="double" w:sz="4" w:space="0" w:color="auto"/>
              <w:bottom w:val="single" w:sz="4" w:space="0" w:color="auto"/>
            </w:tcBorders>
            <w:tcMar>
              <w:top w:w="144" w:type="dxa"/>
              <w:left w:w="144" w:type="dxa"/>
              <w:bottom w:w="144" w:type="dxa"/>
              <w:right w:w="144" w:type="dxa"/>
            </w:tcMar>
            <w:vAlign w:val="center"/>
          </w:tcPr>
          <w:p w:rsidR="00A55C5C" w:rsidRPr="00FB1B18" w:rsidRDefault="009D6512" w:rsidP="00D57D7C">
            <w:pPr>
              <w:pStyle w:val="Title"/>
              <w:ind w:left="-72"/>
              <w:rPr>
                <w:rFonts w:ascii="Times New Roman" w:hAnsi="Times New Roman"/>
                <w:sz w:val="38"/>
                <w:szCs w:val="32"/>
              </w:rPr>
            </w:pPr>
            <w:r w:rsidRPr="00FB1B18">
              <w:rPr>
                <w:rFonts w:ascii="Times New Roman" w:hAnsi="Times New Roman"/>
                <w:sz w:val="40"/>
                <w:szCs w:val="44"/>
              </w:rPr>
              <w:t xml:space="preserve">CH </w:t>
            </w:r>
            <w:r w:rsidR="00644E21">
              <w:rPr>
                <w:rFonts w:ascii="Times New Roman" w:hAnsi="Times New Roman"/>
                <w:sz w:val="40"/>
                <w:szCs w:val="44"/>
              </w:rPr>
              <w:t>509 Advanced</w:t>
            </w:r>
            <w:r w:rsidR="002036B3" w:rsidRPr="00FB1B18">
              <w:rPr>
                <w:rFonts w:ascii="Times New Roman" w:hAnsi="Times New Roman"/>
                <w:sz w:val="40"/>
                <w:szCs w:val="44"/>
              </w:rPr>
              <w:t xml:space="preserve"> </w:t>
            </w:r>
            <w:r w:rsidRPr="00FB1B18">
              <w:rPr>
                <w:rFonts w:ascii="Times New Roman" w:hAnsi="Times New Roman"/>
                <w:sz w:val="40"/>
                <w:szCs w:val="44"/>
              </w:rPr>
              <w:t>Organic Chemistry</w:t>
            </w:r>
            <w:r w:rsidR="005A5927">
              <w:rPr>
                <w:rFonts w:ascii="Times New Roman" w:hAnsi="Times New Roman"/>
                <w:sz w:val="40"/>
                <w:szCs w:val="44"/>
              </w:rPr>
              <w:t xml:space="preserve"> </w:t>
            </w:r>
          </w:p>
        </w:tc>
      </w:tr>
      <w:tr w:rsidR="0021768D" w:rsidRPr="00FB1B18" w:rsidTr="00540AD8">
        <w:trPr>
          <w:trHeight w:val="314"/>
        </w:trPr>
        <w:tc>
          <w:tcPr>
            <w:tcW w:w="1800" w:type="dxa"/>
            <w:tcBorders>
              <w:top w:val="double" w:sz="4" w:space="0" w:color="auto"/>
              <w:bottom w:val="single" w:sz="4" w:space="0" w:color="auto"/>
            </w:tcBorders>
            <w:tcMar>
              <w:top w:w="144" w:type="dxa"/>
              <w:left w:w="144" w:type="dxa"/>
              <w:bottom w:w="144" w:type="dxa"/>
              <w:right w:w="144" w:type="dxa"/>
            </w:tcMar>
          </w:tcPr>
          <w:p w:rsidR="0021768D" w:rsidRPr="0021768D" w:rsidRDefault="0021768D" w:rsidP="0021768D">
            <w:pPr>
              <w:tabs>
                <w:tab w:val="left" w:pos="578"/>
                <w:tab w:val="left" w:pos="900"/>
                <w:tab w:val="left" w:pos="3131"/>
                <w:tab w:val="left" w:pos="5607"/>
                <w:tab w:val="left" w:pos="8082"/>
              </w:tabs>
              <w:ind w:left="-86" w:right="-29"/>
              <w:rPr>
                <w:b/>
              </w:rPr>
            </w:pPr>
            <w:r w:rsidRPr="0021768D">
              <w:rPr>
                <w:b/>
              </w:rPr>
              <w:t>Resource person</w:t>
            </w:r>
          </w:p>
        </w:tc>
        <w:tc>
          <w:tcPr>
            <w:tcW w:w="4140" w:type="dxa"/>
            <w:tcBorders>
              <w:top w:val="double" w:sz="4" w:space="0" w:color="auto"/>
              <w:bottom w:val="single" w:sz="4" w:space="0" w:color="auto"/>
            </w:tcBorders>
            <w:tcMar>
              <w:top w:w="144" w:type="dxa"/>
              <w:left w:w="144" w:type="dxa"/>
              <w:bottom w:w="144" w:type="dxa"/>
              <w:right w:w="144" w:type="dxa"/>
            </w:tcMar>
          </w:tcPr>
          <w:p w:rsidR="0021768D" w:rsidRPr="0021768D" w:rsidRDefault="0021768D" w:rsidP="0021768D">
            <w:pPr>
              <w:tabs>
                <w:tab w:val="left" w:pos="578"/>
                <w:tab w:val="left" w:pos="3131"/>
                <w:tab w:val="left" w:pos="5607"/>
                <w:tab w:val="left" w:pos="8082"/>
              </w:tabs>
              <w:ind w:right="-29"/>
              <w:contextualSpacing/>
              <w:rPr>
                <w:bCs/>
              </w:rPr>
            </w:pPr>
            <w:r w:rsidRPr="0021768D">
              <w:t>Dr Ayesha Mohyuddin</w:t>
            </w:r>
          </w:p>
        </w:tc>
        <w:tc>
          <w:tcPr>
            <w:tcW w:w="1509" w:type="dxa"/>
            <w:gridSpan w:val="2"/>
            <w:tcBorders>
              <w:top w:val="double" w:sz="4" w:space="0" w:color="auto"/>
              <w:bottom w:val="single" w:sz="4" w:space="0" w:color="auto"/>
            </w:tcBorders>
            <w:tcMar>
              <w:top w:w="144" w:type="dxa"/>
              <w:left w:w="144" w:type="dxa"/>
              <w:bottom w:w="144" w:type="dxa"/>
              <w:right w:w="144" w:type="dxa"/>
            </w:tcMar>
          </w:tcPr>
          <w:p w:rsidR="0021768D" w:rsidRPr="00FB1B18" w:rsidRDefault="0021768D" w:rsidP="0021768D">
            <w:pPr>
              <w:tabs>
                <w:tab w:val="left" w:pos="578"/>
                <w:tab w:val="left" w:pos="3131"/>
                <w:tab w:val="left" w:pos="5607"/>
                <w:tab w:val="left" w:pos="8082"/>
              </w:tabs>
              <w:ind w:left="-90" w:right="-29"/>
              <w:rPr>
                <w:b/>
                <w:bCs/>
              </w:rPr>
            </w:pPr>
            <w:r>
              <w:rPr>
                <w:b/>
              </w:rPr>
              <w:t xml:space="preserve">Credit </w:t>
            </w:r>
            <w:r w:rsidRPr="00FB1B18">
              <w:rPr>
                <w:b/>
                <w:bCs/>
              </w:rPr>
              <w:t>Hours</w:t>
            </w:r>
          </w:p>
        </w:tc>
        <w:tc>
          <w:tcPr>
            <w:tcW w:w="3420" w:type="dxa"/>
            <w:tcBorders>
              <w:top w:val="double" w:sz="4" w:space="0" w:color="auto"/>
              <w:bottom w:val="single" w:sz="4" w:space="0" w:color="auto"/>
            </w:tcBorders>
            <w:tcMar>
              <w:top w:w="144" w:type="dxa"/>
              <w:left w:w="144" w:type="dxa"/>
              <w:bottom w:w="144" w:type="dxa"/>
              <w:right w:w="144" w:type="dxa"/>
            </w:tcMar>
          </w:tcPr>
          <w:p w:rsidR="0021768D" w:rsidRPr="00FB1B18" w:rsidRDefault="0021768D" w:rsidP="0021768D">
            <w:pPr>
              <w:tabs>
                <w:tab w:val="left" w:pos="578"/>
                <w:tab w:val="left" w:pos="3131"/>
                <w:tab w:val="left" w:pos="5607"/>
                <w:tab w:val="left" w:pos="8082"/>
              </w:tabs>
              <w:ind w:right="-29"/>
              <w:rPr>
                <w:bCs/>
              </w:rPr>
            </w:pPr>
            <w:r>
              <w:rPr>
                <w:bCs/>
              </w:rPr>
              <w:t>3</w:t>
            </w:r>
          </w:p>
        </w:tc>
      </w:tr>
      <w:tr w:rsidR="00807E31" w:rsidRPr="00FB1B18" w:rsidTr="00540AD8">
        <w:tc>
          <w:tcPr>
            <w:tcW w:w="1800" w:type="dxa"/>
            <w:tcBorders>
              <w:top w:val="double" w:sz="4" w:space="0" w:color="auto"/>
            </w:tcBorders>
            <w:tcMar>
              <w:top w:w="144" w:type="dxa"/>
              <w:left w:w="144" w:type="dxa"/>
              <w:bottom w:w="144" w:type="dxa"/>
              <w:right w:w="144" w:type="dxa"/>
            </w:tcMar>
          </w:tcPr>
          <w:p w:rsidR="00807E31" w:rsidRPr="00FB1B18" w:rsidRDefault="00807E31" w:rsidP="0008165F">
            <w:pPr>
              <w:tabs>
                <w:tab w:val="left" w:pos="578"/>
                <w:tab w:val="left" w:pos="3131"/>
                <w:tab w:val="left" w:pos="5607"/>
                <w:tab w:val="left" w:pos="8082"/>
              </w:tabs>
              <w:ind w:left="-90" w:right="-25"/>
            </w:pPr>
            <w:r w:rsidRPr="00FB1B18">
              <w:rPr>
                <w:b/>
                <w:bCs/>
              </w:rPr>
              <w:t>Course Description</w:t>
            </w:r>
          </w:p>
        </w:tc>
        <w:tc>
          <w:tcPr>
            <w:tcW w:w="9069" w:type="dxa"/>
            <w:gridSpan w:val="4"/>
            <w:tcBorders>
              <w:top w:val="double" w:sz="4" w:space="0" w:color="auto"/>
            </w:tcBorders>
            <w:tcMar>
              <w:top w:w="144" w:type="dxa"/>
              <w:left w:w="144" w:type="dxa"/>
              <w:bottom w:w="144" w:type="dxa"/>
              <w:right w:w="144" w:type="dxa"/>
            </w:tcMar>
          </w:tcPr>
          <w:p w:rsidR="00EF60C3" w:rsidRPr="00845189" w:rsidRDefault="00EF60C3" w:rsidP="00EF60C3">
            <w:pPr>
              <w:jc w:val="both"/>
              <w:rPr>
                <w:sz w:val="22"/>
                <w:szCs w:val="22"/>
              </w:rPr>
            </w:pPr>
            <w:r w:rsidRPr="00845189">
              <w:rPr>
                <w:sz w:val="22"/>
                <w:szCs w:val="22"/>
              </w:rPr>
              <w:t>Modern organic chemistry is often viewed as involving hundreds of individual reactions. Each of these reactions has its own particular advantages and disadvantages. At first glance it would appear to be an impossible task to grasp even a fraction of the information known about these reactions, especially in a one-semester class. Fortunately, however, many of these reactions can be understood in the context of a few fundamental principles. An understanding of these principles can allow the chemist</w:t>
            </w:r>
            <w:r w:rsidR="00D13136" w:rsidRPr="00845189">
              <w:rPr>
                <w:sz w:val="22"/>
                <w:szCs w:val="22"/>
              </w:rPr>
              <w:t xml:space="preserve"> to develop</w:t>
            </w:r>
            <w:r w:rsidRPr="00845189">
              <w:rPr>
                <w:sz w:val="22"/>
                <w:szCs w:val="22"/>
              </w:rPr>
              <w:t xml:space="preserve"> methods for what kinds of transformations can be done, for how chemical reactions can be controlled, and for how chemistry can be used to selectively piece together molecules with a wide range of architectural diversity. In this course, the synthesis of several complex organic molecules will be examined. These molecules will provide a backdrop for exploring the factors that govern particular transformations within a synthetic sequence, as well as the choice of the overall synthetic route itself. </w:t>
            </w:r>
          </w:p>
        </w:tc>
      </w:tr>
      <w:tr w:rsidR="00807E31" w:rsidRPr="00FB1B18" w:rsidTr="00540AD8">
        <w:tc>
          <w:tcPr>
            <w:tcW w:w="1800" w:type="dxa"/>
            <w:tcMar>
              <w:top w:w="144" w:type="dxa"/>
              <w:left w:w="144" w:type="dxa"/>
              <w:bottom w:w="144" w:type="dxa"/>
              <w:right w:w="144" w:type="dxa"/>
            </w:tcMar>
          </w:tcPr>
          <w:p w:rsidR="00807E31" w:rsidRPr="00FB1B18" w:rsidRDefault="00807E31" w:rsidP="0008165F">
            <w:pPr>
              <w:tabs>
                <w:tab w:val="left" w:pos="578"/>
                <w:tab w:val="left" w:pos="3131"/>
                <w:tab w:val="left" w:pos="5607"/>
                <w:tab w:val="left" w:pos="8082"/>
              </w:tabs>
              <w:ind w:left="-90" w:right="-25"/>
              <w:rPr>
                <w:b/>
                <w:bCs/>
              </w:rPr>
            </w:pPr>
            <w:r w:rsidRPr="00FB1B18">
              <w:rPr>
                <w:b/>
                <w:bCs/>
              </w:rPr>
              <w:t>Expected Outcomes</w:t>
            </w:r>
          </w:p>
        </w:tc>
        <w:tc>
          <w:tcPr>
            <w:tcW w:w="9069" w:type="dxa"/>
            <w:gridSpan w:val="4"/>
            <w:tcMar>
              <w:top w:w="144" w:type="dxa"/>
              <w:left w:w="144" w:type="dxa"/>
              <w:bottom w:w="144" w:type="dxa"/>
              <w:right w:w="144" w:type="dxa"/>
            </w:tcMar>
          </w:tcPr>
          <w:p w:rsidR="001C1412" w:rsidRPr="00845189" w:rsidRDefault="00E9514D" w:rsidP="00E9514D">
            <w:pPr>
              <w:jc w:val="both"/>
              <w:rPr>
                <w:color w:val="000000"/>
                <w:sz w:val="22"/>
                <w:szCs w:val="22"/>
              </w:rPr>
            </w:pPr>
            <w:r w:rsidRPr="00845189">
              <w:rPr>
                <w:color w:val="000000"/>
                <w:sz w:val="22"/>
                <w:szCs w:val="22"/>
              </w:rPr>
              <w:t>This course will develop the students</w:t>
            </w:r>
            <w:r w:rsidR="00A70141">
              <w:rPr>
                <w:color w:val="000000"/>
                <w:sz w:val="22"/>
                <w:szCs w:val="22"/>
              </w:rPr>
              <w:t>’</w:t>
            </w:r>
            <w:r w:rsidRPr="00845189">
              <w:rPr>
                <w:color w:val="000000"/>
                <w:sz w:val="22"/>
                <w:szCs w:val="22"/>
              </w:rPr>
              <w:t xml:space="preserve"> ability to perform a wide variety of organic reactions with an emphasis on theory and reaction mechanisms. </w:t>
            </w:r>
            <w:r w:rsidR="001913BF" w:rsidRPr="00845189">
              <w:rPr>
                <w:color w:val="000000"/>
                <w:sz w:val="22"/>
                <w:szCs w:val="22"/>
              </w:rPr>
              <w:t xml:space="preserve">After completing this course </w:t>
            </w:r>
            <w:r w:rsidR="00FB1B18" w:rsidRPr="00845189">
              <w:rPr>
                <w:color w:val="000000"/>
                <w:sz w:val="22"/>
                <w:szCs w:val="22"/>
              </w:rPr>
              <w:t xml:space="preserve">students </w:t>
            </w:r>
            <w:r w:rsidR="000B4317" w:rsidRPr="00845189">
              <w:rPr>
                <w:color w:val="000000"/>
                <w:sz w:val="22"/>
                <w:szCs w:val="22"/>
              </w:rPr>
              <w:t>will be able to</w:t>
            </w:r>
            <w:r w:rsidR="001C1412" w:rsidRPr="00845189">
              <w:rPr>
                <w:color w:val="000000"/>
                <w:sz w:val="22"/>
                <w:szCs w:val="22"/>
              </w:rPr>
              <w:t>:</w:t>
            </w:r>
          </w:p>
          <w:p w:rsidR="001C1412" w:rsidRPr="00845189" w:rsidRDefault="00B80A52" w:rsidP="00071AFA">
            <w:pPr>
              <w:numPr>
                <w:ilvl w:val="0"/>
                <w:numId w:val="34"/>
              </w:numPr>
              <w:rPr>
                <w:color w:val="000000"/>
                <w:sz w:val="22"/>
                <w:szCs w:val="22"/>
              </w:rPr>
            </w:pPr>
            <w:r w:rsidRPr="00845189">
              <w:rPr>
                <w:color w:val="000000"/>
                <w:sz w:val="22"/>
                <w:szCs w:val="22"/>
              </w:rPr>
              <w:t xml:space="preserve">To understand how different experimental techniques are used to elucidate organic reaction mechanisms </w:t>
            </w:r>
          </w:p>
          <w:p w:rsidR="00B80A52" w:rsidRPr="00845189" w:rsidRDefault="00B80A52" w:rsidP="00071AFA">
            <w:pPr>
              <w:numPr>
                <w:ilvl w:val="0"/>
                <w:numId w:val="34"/>
              </w:numPr>
              <w:rPr>
                <w:color w:val="000000"/>
                <w:sz w:val="22"/>
                <w:szCs w:val="22"/>
              </w:rPr>
            </w:pPr>
            <w:r w:rsidRPr="00845189">
              <w:rPr>
                <w:color w:val="000000"/>
                <w:sz w:val="22"/>
                <w:szCs w:val="22"/>
              </w:rPr>
              <w:t xml:space="preserve">To become more familiar with the three main mechanistic classes (polar, radical, </w:t>
            </w:r>
            <w:proofErr w:type="spellStart"/>
            <w:r w:rsidRPr="00845189">
              <w:rPr>
                <w:color w:val="000000"/>
                <w:sz w:val="22"/>
                <w:szCs w:val="22"/>
              </w:rPr>
              <w:t>pericyclic</w:t>
            </w:r>
            <w:proofErr w:type="spellEnd"/>
            <w:r w:rsidRPr="00845189">
              <w:rPr>
                <w:color w:val="000000"/>
                <w:sz w:val="22"/>
                <w:szCs w:val="22"/>
              </w:rPr>
              <w:t xml:space="preserve">) of organic reactions. </w:t>
            </w:r>
          </w:p>
          <w:p w:rsidR="00B80A52" w:rsidRPr="00845189" w:rsidRDefault="00B80A52" w:rsidP="00071AFA">
            <w:pPr>
              <w:numPr>
                <w:ilvl w:val="0"/>
                <w:numId w:val="34"/>
              </w:numPr>
              <w:rPr>
                <w:sz w:val="22"/>
                <w:szCs w:val="22"/>
              </w:rPr>
            </w:pPr>
            <w:r w:rsidRPr="00845189">
              <w:rPr>
                <w:color w:val="000000"/>
                <w:sz w:val="22"/>
                <w:szCs w:val="22"/>
              </w:rPr>
              <w:t xml:space="preserve">To understand the key issues involved in organic synthesis </w:t>
            </w:r>
          </w:p>
          <w:p w:rsidR="00807E31" w:rsidRPr="00845189" w:rsidRDefault="00071AFA" w:rsidP="00071AFA">
            <w:pPr>
              <w:numPr>
                <w:ilvl w:val="0"/>
                <w:numId w:val="34"/>
              </w:numPr>
              <w:rPr>
                <w:sz w:val="22"/>
                <w:szCs w:val="22"/>
              </w:rPr>
            </w:pPr>
            <w:r w:rsidRPr="00845189">
              <w:rPr>
                <w:color w:val="000000"/>
                <w:sz w:val="22"/>
                <w:szCs w:val="22"/>
              </w:rPr>
              <w:t>Employ the knowledge of organic syntheses for research</w:t>
            </w:r>
          </w:p>
          <w:p w:rsidR="00E12BC2" w:rsidRPr="00845189" w:rsidRDefault="00E12BC2" w:rsidP="0013275E">
            <w:pPr>
              <w:numPr>
                <w:ilvl w:val="0"/>
                <w:numId w:val="34"/>
              </w:numPr>
              <w:rPr>
                <w:sz w:val="22"/>
                <w:szCs w:val="22"/>
              </w:rPr>
            </w:pPr>
            <w:r w:rsidRPr="00845189">
              <w:rPr>
                <w:color w:val="000000"/>
                <w:sz w:val="22"/>
                <w:szCs w:val="22"/>
              </w:rPr>
              <w:t xml:space="preserve">Utilize their skills to understand the mechanisms involving preparation of various types of pharmaceutical and industrial products </w:t>
            </w:r>
            <w:r w:rsidR="0013275E" w:rsidRPr="00845189">
              <w:rPr>
                <w:color w:val="000000"/>
                <w:sz w:val="22"/>
                <w:szCs w:val="22"/>
              </w:rPr>
              <w:t>regarding</w:t>
            </w:r>
            <w:r w:rsidRPr="00845189">
              <w:rPr>
                <w:color w:val="000000"/>
                <w:sz w:val="22"/>
                <w:szCs w:val="22"/>
              </w:rPr>
              <w:t xml:space="preserve"> their career </w:t>
            </w:r>
            <w:r w:rsidR="0013275E" w:rsidRPr="00845189">
              <w:rPr>
                <w:color w:val="000000"/>
                <w:sz w:val="22"/>
                <w:szCs w:val="22"/>
              </w:rPr>
              <w:t>perspective</w:t>
            </w:r>
          </w:p>
        </w:tc>
      </w:tr>
      <w:tr w:rsidR="00807E31" w:rsidRPr="00FB1B18" w:rsidTr="00540AD8">
        <w:trPr>
          <w:trHeight w:val="2350"/>
        </w:trPr>
        <w:tc>
          <w:tcPr>
            <w:tcW w:w="1800" w:type="dxa"/>
            <w:tcBorders>
              <w:bottom w:val="single" w:sz="4" w:space="0" w:color="auto"/>
            </w:tcBorders>
            <w:tcMar>
              <w:top w:w="144" w:type="dxa"/>
              <w:left w:w="144" w:type="dxa"/>
              <w:bottom w:w="144" w:type="dxa"/>
              <w:right w:w="144" w:type="dxa"/>
            </w:tcMar>
          </w:tcPr>
          <w:p w:rsidR="00807E31" w:rsidRPr="00FB1B18" w:rsidRDefault="00FB1B18" w:rsidP="00FB1B18">
            <w:pPr>
              <w:tabs>
                <w:tab w:val="left" w:pos="578"/>
                <w:tab w:val="left" w:pos="3131"/>
                <w:tab w:val="left" w:pos="5607"/>
                <w:tab w:val="left" w:pos="8082"/>
              </w:tabs>
              <w:ind w:right="-25"/>
              <w:rPr>
                <w:b/>
                <w:bCs/>
              </w:rPr>
            </w:pPr>
            <w:r>
              <w:rPr>
                <w:rFonts w:ascii="Calibri" w:hAnsi="Calibri"/>
                <w:b/>
                <w:bCs/>
              </w:rPr>
              <w:t>Reference book(s)</w:t>
            </w:r>
          </w:p>
        </w:tc>
        <w:tc>
          <w:tcPr>
            <w:tcW w:w="9069" w:type="dxa"/>
            <w:gridSpan w:val="4"/>
            <w:tcBorders>
              <w:bottom w:val="single" w:sz="4" w:space="0" w:color="auto"/>
            </w:tcBorders>
            <w:tcMar>
              <w:top w:w="144" w:type="dxa"/>
              <w:left w:w="144" w:type="dxa"/>
              <w:bottom w:w="144" w:type="dxa"/>
              <w:right w:w="144" w:type="dxa"/>
            </w:tcMar>
          </w:tcPr>
          <w:p w:rsidR="00B87DF7" w:rsidRPr="00B87DF7" w:rsidRDefault="00B87DF7" w:rsidP="009A1ABD">
            <w:pPr>
              <w:numPr>
                <w:ilvl w:val="0"/>
                <w:numId w:val="33"/>
              </w:numPr>
              <w:tabs>
                <w:tab w:val="left" w:pos="396"/>
              </w:tabs>
              <w:ind w:left="36" w:firstLine="0"/>
              <w:rPr>
                <w:sz w:val="22"/>
                <w:szCs w:val="22"/>
              </w:rPr>
            </w:pPr>
            <w:r w:rsidRPr="00B87DF7">
              <w:rPr>
                <w:sz w:val="22"/>
                <w:szCs w:val="22"/>
              </w:rPr>
              <w:t>Smith, M. B., “March’s Advanced Organic Chemistry: Reactions, Mechanisms, and Structure”, 7</w:t>
            </w:r>
            <w:r w:rsidRPr="00B87DF7">
              <w:rPr>
                <w:sz w:val="22"/>
                <w:szCs w:val="22"/>
                <w:vertAlign w:val="superscript"/>
              </w:rPr>
              <w:t>th</w:t>
            </w:r>
            <w:r w:rsidRPr="00B87DF7">
              <w:rPr>
                <w:sz w:val="22"/>
                <w:szCs w:val="22"/>
              </w:rPr>
              <w:t xml:space="preserve"> ed., John-Wiley &amp; Sons, Inc., (2013).</w:t>
            </w:r>
          </w:p>
          <w:p w:rsidR="007B1CB1" w:rsidRDefault="007B1CB1" w:rsidP="009A1ABD">
            <w:pPr>
              <w:numPr>
                <w:ilvl w:val="0"/>
                <w:numId w:val="33"/>
              </w:numPr>
              <w:tabs>
                <w:tab w:val="left" w:pos="396"/>
              </w:tabs>
              <w:ind w:left="36" w:firstLine="0"/>
              <w:rPr>
                <w:sz w:val="22"/>
                <w:szCs w:val="22"/>
              </w:rPr>
            </w:pPr>
            <w:proofErr w:type="spellStart"/>
            <w:r w:rsidRPr="00845189">
              <w:rPr>
                <w:sz w:val="22"/>
                <w:szCs w:val="22"/>
              </w:rPr>
              <w:t>Solomons</w:t>
            </w:r>
            <w:proofErr w:type="spellEnd"/>
            <w:r w:rsidRPr="00845189">
              <w:rPr>
                <w:sz w:val="22"/>
                <w:szCs w:val="22"/>
              </w:rPr>
              <w:t xml:space="preserve">, T. W. G. and </w:t>
            </w:r>
            <w:proofErr w:type="spellStart"/>
            <w:r w:rsidRPr="00845189">
              <w:rPr>
                <w:sz w:val="22"/>
                <w:szCs w:val="22"/>
              </w:rPr>
              <w:t>Fryhle</w:t>
            </w:r>
            <w:proofErr w:type="spellEnd"/>
            <w:r w:rsidRPr="00845189">
              <w:rPr>
                <w:sz w:val="22"/>
                <w:szCs w:val="22"/>
              </w:rPr>
              <w:t>, C. B., “Organic Chemistry”, 10</w:t>
            </w:r>
            <w:r w:rsidRPr="00845189">
              <w:rPr>
                <w:sz w:val="22"/>
                <w:szCs w:val="22"/>
                <w:vertAlign w:val="superscript"/>
              </w:rPr>
              <w:t>th</w:t>
            </w:r>
            <w:r w:rsidRPr="00845189">
              <w:rPr>
                <w:sz w:val="22"/>
                <w:szCs w:val="22"/>
              </w:rPr>
              <w:t xml:space="preserve"> ed., John-Wiley &amp; Sons, Inc., (2011)</w:t>
            </w:r>
          </w:p>
          <w:p w:rsidR="005D487C" w:rsidRPr="007B1CB1" w:rsidRDefault="00F031D1" w:rsidP="005D487C">
            <w:pPr>
              <w:numPr>
                <w:ilvl w:val="0"/>
                <w:numId w:val="33"/>
              </w:numPr>
              <w:tabs>
                <w:tab w:val="left" w:pos="396"/>
              </w:tabs>
              <w:ind w:left="36" w:firstLine="0"/>
              <w:rPr>
                <w:sz w:val="22"/>
                <w:szCs w:val="22"/>
              </w:rPr>
            </w:pPr>
            <w:r w:rsidRPr="007B1CB1">
              <w:rPr>
                <w:sz w:val="22"/>
                <w:szCs w:val="22"/>
              </w:rPr>
              <w:t>Morrison, R.T. and Boyd, R. N., “Organic Chemistry”, 6</w:t>
            </w:r>
            <w:r w:rsidRPr="007B1CB1">
              <w:rPr>
                <w:sz w:val="22"/>
                <w:szCs w:val="22"/>
                <w:vertAlign w:val="superscript"/>
              </w:rPr>
              <w:t>th</w:t>
            </w:r>
            <w:r w:rsidRPr="007B1CB1">
              <w:rPr>
                <w:sz w:val="22"/>
                <w:szCs w:val="22"/>
              </w:rPr>
              <w:t xml:space="preserve"> ed., Prentice Hall, New Jersey, (1992).</w:t>
            </w:r>
          </w:p>
          <w:p w:rsidR="00994FA9" w:rsidRPr="00845189" w:rsidRDefault="00994FA9" w:rsidP="00994FA9">
            <w:pPr>
              <w:numPr>
                <w:ilvl w:val="0"/>
                <w:numId w:val="33"/>
              </w:numPr>
              <w:tabs>
                <w:tab w:val="left" w:pos="396"/>
              </w:tabs>
              <w:ind w:left="36" w:firstLine="0"/>
              <w:rPr>
                <w:sz w:val="22"/>
                <w:szCs w:val="22"/>
              </w:rPr>
            </w:pPr>
            <w:r w:rsidRPr="00845189">
              <w:rPr>
                <w:sz w:val="22"/>
                <w:szCs w:val="22"/>
              </w:rPr>
              <w:t>Sykes, P., A Guide Book to Mechanism in Organic Chemistry, 6</w:t>
            </w:r>
            <w:r w:rsidRPr="00845189">
              <w:rPr>
                <w:sz w:val="22"/>
                <w:szCs w:val="22"/>
                <w:vertAlign w:val="superscript"/>
              </w:rPr>
              <w:t>th</w:t>
            </w:r>
            <w:r w:rsidRPr="00845189">
              <w:rPr>
                <w:sz w:val="22"/>
                <w:szCs w:val="22"/>
              </w:rPr>
              <w:t xml:space="preserve"> ed., Pearson Education, (1986). </w:t>
            </w:r>
          </w:p>
          <w:p w:rsidR="00576FED" w:rsidRPr="00845189" w:rsidRDefault="00994FA9" w:rsidP="00994FA9">
            <w:pPr>
              <w:numPr>
                <w:ilvl w:val="0"/>
                <w:numId w:val="33"/>
              </w:numPr>
              <w:tabs>
                <w:tab w:val="left" w:pos="396"/>
              </w:tabs>
              <w:ind w:left="36" w:firstLine="0"/>
              <w:rPr>
                <w:sz w:val="22"/>
                <w:szCs w:val="22"/>
              </w:rPr>
            </w:pPr>
            <w:r w:rsidRPr="00845189">
              <w:rPr>
                <w:sz w:val="22"/>
                <w:szCs w:val="22"/>
                <w:lang w:val="en-GB"/>
              </w:rPr>
              <w:t xml:space="preserve">Carey, F. A. and </w:t>
            </w:r>
            <w:proofErr w:type="spellStart"/>
            <w:r w:rsidRPr="00845189">
              <w:rPr>
                <w:sz w:val="22"/>
                <w:szCs w:val="22"/>
                <w:lang w:val="en-GB"/>
              </w:rPr>
              <w:t>Giuliano</w:t>
            </w:r>
            <w:proofErr w:type="spellEnd"/>
            <w:r w:rsidRPr="00845189">
              <w:rPr>
                <w:sz w:val="22"/>
                <w:szCs w:val="22"/>
                <w:lang w:val="en-GB"/>
              </w:rPr>
              <w:t xml:space="preserve">, R. M., </w:t>
            </w:r>
            <w:r w:rsidRPr="00845189">
              <w:rPr>
                <w:i/>
                <w:sz w:val="22"/>
                <w:szCs w:val="22"/>
                <w:lang w:val="en-GB"/>
              </w:rPr>
              <w:t xml:space="preserve">Organic Chemistry, </w:t>
            </w:r>
            <w:r w:rsidRPr="00845189">
              <w:rPr>
                <w:sz w:val="22"/>
                <w:szCs w:val="22"/>
                <w:lang w:val="en-GB"/>
              </w:rPr>
              <w:t>9</w:t>
            </w:r>
            <w:r w:rsidRPr="00845189">
              <w:rPr>
                <w:sz w:val="22"/>
                <w:szCs w:val="22"/>
                <w:vertAlign w:val="superscript"/>
                <w:lang w:val="en-GB"/>
              </w:rPr>
              <w:t>th</w:t>
            </w:r>
            <w:r w:rsidRPr="00845189">
              <w:rPr>
                <w:sz w:val="22"/>
                <w:szCs w:val="22"/>
                <w:lang w:val="en-GB"/>
              </w:rPr>
              <w:t xml:space="preserve"> ed., McGraw-Hill Education, (2013)</w:t>
            </w:r>
          </w:p>
        </w:tc>
      </w:tr>
      <w:tr w:rsidR="00841651" w:rsidRPr="00FB1B18" w:rsidTr="00540AD8">
        <w:trPr>
          <w:trHeight w:val="604"/>
        </w:trPr>
        <w:tc>
          <w:tcPr>
            <w:tcW w:w="1800" w:type="dxa"/>
            <w:tcBorders>
              <w:top w:val="single" w:sz="4" w:space="0" w:color="auto"/>
              <w:bottom w:val="double" w:sz="4" w:space="0" w:color="auto"/>
            </w:tcBorders>
            <w:tcMar>
              <w:top w:w="144" w:type="dxa"/>
              <w:left w:w="144" w:type="dxa"/>
              <w:bottom w:w="144" w:type="dxa"/>
              <w:right w:w="144" w:type="dxa"/>
            </w:tcMar>
          </w:tcPr>
          <w:p w:rsidR="00841651" w:rsidRPr="00FB1B18" w:rsidRDefault="00841651" w:rsidP="0008165F">
            <w:pPr>
              <w:tabs>
                <w:tab w:val="left" w:pos="578"/>
                <w:tab w:val="left" w:pos="900"/>
                <w:tab w:val="left" w:pos="3131"/>
                <w:tab w:val="left" w:pos="5607"/>
                <w:tab w:val="left" w:pos="8082"/>
              </w:tabs>
              <w:ind w:left="-90" w:right="-25"/>
              <w:rPr>
                <w:b/>
              </w:rPr>
            </w:pPr>
            <w:r w:rsidRPr="00FB1B18">
              <w:rPr>
                <w:b/>
              </w:rPr>
              <w:t>Grading Policy</w:t>
            </w:r>
          </w:p>
        </w:tc>
        <w:tc>
          <w:tcPr>
            <w:tcW w:w="4479" w:type="dxa"/>
            <w:gridSpan w:val="2"/>
            <w:tcBorders>
              <w:top w:val="single" w:sz="4" w:space="0" w:color="auto"/>
              <w:bottom w:val="double" w:sz="4" w:space="0" w:color="auto"/>
            </w:tcBorders>
            <w:tcMar>
              <w:top w:w="144" w:type="dxa"/>
              <w:left w:w="144" w:type="dxa"/>
              <w:bottom w:w="144" w:type="dxa"/>
              <w:right w:w="144" w:type="dxa"/>
            </w:tcMar>
          </w:tcPr>
          <w:p w:rsidR="00991CFA" w:rsidRDefault="00841651" w:rsidP="00841651">
            <w:pPr>
              <w:numPr>
                <w:ilvl w:val="0"/>
                <w:numId w:val="1"/>
              </w:numPr>
              <w:tabs>
                <w:tab w:val="clear" w:pos="360"/>
                <w:tab w:val="left" w:pos="350"/>
              </w:tabs>
              <w:rPr>
                <w:sz w:val="22"/>
                <w:szCs w:val="22"/>
              </w:rPr>
            </w:pPr>
            <w:bookmarkStart w:id="0" w:name="_GoBack"/>
            <w:r w:rsidRPr="00845189">
              <w:rPr>
                <w:sz w:val="22"/>
                <w:szCs w:val="22"/>
              </w:rPr>
              <w:t>Quizzes</w:t>
            </w:r>
            <w:r w:rsidR="00991CFA">
              <w:rPr>
                <w:sz w:val="22"/>
                <w:szCs w:val="22"/>
              </w:rPr>
              <w:t xml:space="preserve">                                          10%</w:t>
            </w:r>
            <w:r w:rsidRPr="00845189">
              <w:rPr>
                <w:sz w:val="22"/>
                <w:szCs w:val="22"/>
              </w:rPr>
              <w:t xml:space="preserve"> </w:t>
            </w:r>
          </w:p>
          <w:p w:rsidR="00841651" w:rsidRPr="00845189" w:rsidRDefault="00841651" w:rsidP="00841651">
            <w:pPr>
              <w:numPr>
                <w:ilvl w:val="0"/>
                <w:numId w:val="1"/>
              </w:numPr>
              <w:tabs>
                <w:tab w:val="clear" w:pos="360"/>
                <w:tab w:val="left" w:pos="350"/>
              </w:tabs>
              <w:rPr>
                <w:sz w:val="22"/>
                <w:szCs w:val="22"/>
              </w:rPr>
            </w:pPr>
            <w:r w:rsidRPr="00845189">
              <w:rPr>
                <w:sz w:val="22"/>
                <w:szCs w:val="22"/>
              </w:rPr>
              <w:t xml:space="preserve">Assignments:     </w:t>
            </w:r>
            <w:r w:rsidR="00991CFA">
              <w:rPr>
                <w:sz w:val="22"/>
                <w:szCs w:val="22"/>
              </w:rPr>
              <w:t xml:space="preserve">                        </w:t>
            </w:r>
            <w:r w:rsidRPr="00845189">
              <w:rPr>
                <w:sz w:val="22"/>
                <w:szCs w:val="22"/>
              </w:rPr>
              <w:t xml:space="preserve"> </w:t>
            </w:r>
            <w:r w:rsidR="00991CFA">
              <w:rPr>
                <w:sz w:val="22"/>
                <w:szCs w:val="22"/>
              </w:rPr>
              <w:t xml:space="preserve">   5</w:t>
            </w:r>
            <w:r w:rsidRPr="00845189">
              <w:rPr>
                <w:sz w:val="22"/>
                <w:szCs w:val="22"/>
              </w:rPr>
              <w:t xml:space="preserve">% </w:t>
            </w:r>
          </w:p>
          <w:bookmarkEnd w:id="0"/>
          <w:p w:rsidR="00841651" w:rsidRPr="00845189" w:rsidRDefault="00994FA9" w:rsidP="00994FA9">
            <w:pPr>
              <w:numPr>
                <w:ilvl w:val="0"/>
                <w:numId w:val="1"/>
              </w:numPr>
              <w:tabs>
                <w:tab w:val="clear" w:pos="360"/>
                <w:tab w:val="left" w:pos="350"/>
              </w:tabs>
              <w:rPr>
                <w:sz w:val="22"/>
                <w:szCs w:val="22"/>
              </w:rPr>
            </w:pPr>
            <w:r w:rsidRPr="00845189">
              <w:rPr>
                <w:sz w:val="22"/>
                <w:szCs w:val="22"/>
              </w:rPr>
              <w:t>Case study</w:t>
            </w:r>
            <w:r w:rsidR="00841651" w:rsidRPr="00845189">
              <w:rPr>
                <w:sz w:val="22"/>
                <w:szCs w:val="22"/>
              </w:rPr>
              <w:t xml:space="preserve">      </w:t>
            </w:r>
            <w:r w:rsidR="003C3516" w:rsidRPr="00845189">
              <w:rPr>
                <w:sz w:val="22"/>
                <w:szCs w:val="22"/>
              </w:rPr>
              <w:t xml:space="preserve">          </w:t>
            </w:r>
            <w:r w:rsidRPr="00845189">
              <w:rPr>
                <w:sz w:val="22"/>
                <w:szCs w:val="22"/>
              </w:rPr>
              <w:t xml:space="preserve">         </w:t>
            </w:r>
            <w:r w:rsidR="003C3516" w:rsidRPr="00845189">
              <w:rPr>
                <w:sz w:val="22"/>
                <w:szCs w:val="22"/>
              </w:rPr>
              <w:t xml:space="preserve">     </w:t>
            </w:r>
            <w:r w:rsidR="007506C5">
              <w:rPr>
                <w:sz w:val="22"/>
                <w:szCs w:val="22"/>
              </w:rPr>
              <w:t xml:space="preserve">    </w:t>
            </w:r>
            <w:r w:rsidR="00841651" w:rsidRPr="00845189">
              <w:rPr>
                <w:sz w:val="22"/>
                <w:szCs w:val="22"/>
              </w:rPr>
              <w:t xml:space="preserve">   </w:t>
            </w:r>
            <w:r w:rsidR="00D57D7C">
              <w:rPr>
                <w:sz w:val="22"/>
                <w:szCs w:val="22"/>
              </w:rPr>
              <w:t>5</w:t>
            </w:r>
            <w:r w:rsidR="00841651" w:rsidRPr="00845189">
              <w:rPr>
                <w:sz w:val="22"/>
                <w:szCs w:val="22"/>
              </w:rPr>
              <w:t>%</w:t>
            </w:r>
          </w:p>
          <w:p w:rsidR="00994FA9" w:rsidRPr="00845189" w:rsidRDefault="00994FA9" w:rsidP="00D57D7C">
            <w:pPr>
              <w:numPr>
                <w:ilvl w:val="0"/>
                <w:numId w:val="1"/>
              </w:numPr>
              <w:tabs>
                <w:tab w:val="clear" w:pos="360"/>
                <w:tab w:val="left" w:pos="350"/>
              </w:tabs>
              <w:rPr>
                <w:sz w:val="22"/>
                <w:szCs w:val="22"/>
              </w:rPr>
            </w:pPr>
            <w:r w:rsidRPr="00845189">
              <w:rPr>
                <w:sz w:val="22"/>
                <w:szCs w:val="22"/>
              </w:rPr>
              <w:t>Pres</w:t>
            </w:r>
            <w:r w:rsidR="00B269D5">
              <w:rPr>
                <w:sz w:val="22"/>
                <w:szCs w:val="22"/>
              </w:rPr>
              <w:t>e</w:t>
            </w:r>
            <w:r w:rsidRPr="00845189">
              <w:rPr>
                <w:sz w:val="22"/>
                <w:szCs w:val="22"/>
              </w:rPr>
              <w:t xml:space="preserve">ntation                            </w:t>
            </w:r>
            <w:r w:rsidR="007506C5">
              <w:rPr>
                <w:sz w:val="22"/>
                <w:szCs w:val="22"/>
              </w:rPr>
              <w:t xml:space="preserve">       </w:t>
            </w:r>
            <w:r w:rsidR="00D57D7C">
              <w:rPr>
                <w:sz w:val="22"/>
                <w:szCs w:val="22"/>
              </w:rPr>
              <w:t>5</w:t>
            </w:r>
            <w:r w:rsidRPr="00845189">
              <w:rPr>
                <w:sz w:val="22"/>
                <w:szCs w:val="22"/>
              </w:rPr>
              <w:t>%</w:t>
            </w:r>
          </w:p>
        </w:tc>
        <w:tc>
          <w:tcPr>
            <w:tcW w:w="4590" w:type="dxa"/>
            <w:gridSpan w:val="2"/>
            <w:tcBorders>
              <w:top w:val="single" w:sz="4" w:space="0" w:color="auto"/>
              <w:bottom w:val="double" w:sz="4" w:space="0" w:color="auto"/>
            </w:tcBorders>
          </w:tcPr>
          <w:p w:rsidR="00841651" w:rsidRPr="00845189" w:rsidRDefault="00841651" w:rsidP="009A1ABD">
            <w:pPr>
              <w:numPr>
                <w:ilvl w:val="0"/>
                <w:numId w:val="1"/>
              </w:numPr>
              <w:tabs>
                <w:tab w:val="clear" w:pos="360"/>
                <w:tab w:val="left" w:pos="350"/>
              </w:tabs>
              <w:rPr>
                <w:sz w:val="22"/>
                <w:szCs w:val="22"/>
              </w:rPr>
            </w:pPr>
            <w:r w:rsidRPr="00845189">
              <w:rPr>
                <w:sz w:val="22"/>
                <w:szCs w:val="22"/>
              </w:rPr>
              <w:t>Midterm:                                           2</w:t>
            </w:r>
            <w:r w:rsidR="00E14180">
              <w:rPr>
                <w:sz w:val="22"/>
                <w:szCs w:val="22"/>
              </w:rPr>
              <w:t>5</w:t>
            </w:r>
            <w:r w:rsidRPr="00845189">
              <w:rPr>
                <w:sz w:val="22"/>
                <w:szCs w:val="22"/>
              </w:rPr>
              <w:t xml:space="preserve">%    </w:t>
            </w:r>
          </w:p>
          <w:p w:rsidR="00841651" w:rsidRDefault="00841651" w:rsidP="0021768D">
            <w:pPr>
              <w:numPr>
                <w:ilvl w:val="0"/>
                <w:numId w:val="1"/>
              </w:numPr>
              <w:tabs>
                <w:tab w:val="clear" w:pos="360"/>
                <w:tab w:val="left" w:pos="350"/>
              </w:tabs>
              <w:rPr>
                <w:sz w:val="22"/>
                <w:szCs w:val="22"/>
              </w:rPr>
            </w:pPr>
            <w:r w:rsidRPr="00845189">
              <w:rPr>
                <w:sz w:val="22"/>
                <w:szCs w:val="22"/>
              </w:rPr>
              <w:t xml:space="preserve">Final Exam:                                      </w:t>
            </w:r>
            <w:r w:rsidR="0021768D">
              <w:rPr>
                <w:sz w:val="22"/>
                <w:szCs w:val="22"/>
              </w:rPr>
              <w:t>50</w:t>
            </w:r>
            <w:r w:rsidRPr="00845189">
              <w:rPr>
                <w:sz w:val="22"/>
                <w:szCs w:val="22"/>
              </w:rPr>
              <w:t>%</w:t>
            </w:r>
          </w:p>
          <w:p w:rsidR="00991CFA" w:rsidRPr="00845189" w:rsidRDefault="00991CFA" w:rsidP="00991CFA">
            <w:pPr>
              <w:tabs>
                <w:tab w:val="left" w:pos="350"/>
              </w:tabs>
              <w:ind w:left="360"/>
              <w:rPr>
                <w:sz w:val="22"/>
                <w:szCs w:val="22"/>
              </w:rPr>
            </w:pPr>
            <w:r>
              <w:rPr>
                <w:sz w:val="22"/>
                <w:szCs w:val="22"/>
              </w:rPr>
              <w:t>Students with less than 80% attendance will be awarded SA grade</w:t>
            </w:r>
          </w:p>
        </w:tc>
      </w:tr>
    </w:tbl>
    <w:p w:rsidR="00047AE8" w:rsidRDefault="00047AE8">
      <w:pPr>
        <w:rPr>
          <w:b/>
        </w:rPr>
      </w:pPr>
      <w:r w:rsidRPr="00FB1B18">
        <w:rPr>
          <w:b/>
        </w:rPr>
        <w:br w:type="page"/>
      </w:r>
    </w:p>
    <w:p w:rsidR="00276707" w:rsidRDefault="00276707">
      <w:pPr>
        <w:rPr>
          <w:b/>
        </w:rPr>
      </w:pPr>
    </w:p>
    <w:p w:rsidR="00FB6205" w:rsidRPr="004E6842" w:rsidRDefault="00FB6205" w:rsidP="00FB6205">
      <w:pPr>
        <w:spacing w:line="276" w:lineRule="auto"/>
        <w:jc w:val="center"/>
        <w:rPr>
          <w:b/>
          <w:sz w:val="32"/>
          <w:szCs w:val="32"/>
          <w:u w:val="single"/>
        </w:rPr>
      </w:pPr>
      <w:r w:rsidRPr="004E6842">
        <w:rPr>
          <w:b/>
          <w:sz w:val="32"/>
          <w:szCs w:val="32"/>
          <w:u w:val="single"/>
        </w:rPr>
        <w:t>University of Management &amp; Technology</w:t>
      </w:r>
    </w:p>
    <w:p w:rsidR="00FB6205" w:rsidRPr="000E6865" w:rsidRDefault="00FB6205" w:rsidP="00FB6205">
      <w:pPr>
        <w:spacing w:line="276" w:lineRule="auto"/>
        <w:jc w:val="center"/>
        <w:rPr>
          <w:b/>
          <w:sz w:val="28"/>
          <w:szCs w:val="28"/>
          <w:u w:val="single"/>
        </w:rPr>
      </w:pPr>
      <w:r w:rsidRPr="000E6865">
        <w:rPr>
          <w:b/>
          <w:sz w:val="28"/>
          <w:szCs w:val="28"/>
          <w:u w:val="single"/>
        </w:rPr>
        <w:t xml:space="preserve">School of Science </w:t>
      </w:r>
    </w:p>
    <w:p w:rsidR="00FB6205" w:rsidRPr="000E6865" w:rsidRDefault="00325923" w:rsidP="00FB6205">
      <w:pPr>
        <w:spacing w:line="276" w:lineRule="auto"/>
        <w:jc w:val="center"/>
        <w:rPr>
          <w:b/>
          <w:sz w:val="28"/>
          <w:szCs w:val="28"/>
          <w:u w:val="single"/>
        </w:rPr>
      </w:pPr>
      <w:r w:rsidRPr="00325923">
        <w:rPr>
          <w:b/>
          <w:noProof/>
          <w:sz w:val="28"/>
          <w:szCs w:val="28"/>
          <w:u w:val="single"/>
        </w:rPr>
        <w:drawing>
          <wp:anchor distT="0" distB="0" distL="114300" distR="114300" simplePos="0" relativeHeight="251659264" behindDoc="1" locked="0" layoutInCell="1" allowOverlap="1">
            <wp:simplePos x="0" y="0"/>
            <wp:positionH relativeFrom="column">
              <wp:posOffset>173355</wp:posOffset>
            </wp:positionH>
            <wp:positionV relativeFrom="paragraph">
              <wp:posOffset>-416560</wp:posOffset>
            </wp:positionV>
            <wp:extent cx="857250" cy="828675"/>
            <wp:effectExtent l="19050" t="0" r="0" b="0"/>
            <wp:wrapThrough wrapText="bothSides">
              <wp:wrapPolygon edited="0">
                <wp:start x="-478" y="0"/>
                <wp:lineTo x="-478" y="20952"/>
                <wp:lineTo x="21504" y="20952"/>
                <wp:lineTo x="21504" y="0"/>
                <wp:lineTo x="-478" y="0"/>
              </wp:wrapPolygon>
            </wp:wrapThrough>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FB6205" w:rsidRPr="000E6865">
        <w:rPr>
          <w:b/>
          <w:sz w:val="28"/>
          <w:szCs w:val="28"/>
          <w:u w:val="single"/>
        </w:rPr>
        <w:t>Department of Chemistry</w:t>
      </w:r>
    </w:p>
    <w:p w:rsidR="00FB6205" w:rsidRDefault="00FB6205" w:rsidP="00FB6205">
      <w:pPr>
        <w:tabs>
          <w:tab w:val="left" w:pos="578"/>
          <w:tab w:val="left" w:pos="3131"/>
          <w:tab w:val="left" w:pos="5607"/>
          <w:tab w:val="left" w:pos="8082"/>
          <w:tab w:val="left" w:pos="9611"/>
        </w:tabs>
        <w:spacing w:line="276" w:lineRule="auto"/>
        <w:jc w:val="center"/>
        <w:rPr>
          <w:b/>
          <w:sz w:val="28"/>
          <w:szCs w:val="28"/>
          <w:u w:val="single"/>
        </w:rPr>
      </w:pPr>
      <w:r w:rsidRPr="00D86C06">
        <w:rPr>
          <w:b/>
          <w:sz w:val="28"/>
          <w:szCs w:val="28"/>
        </w:rPr>
        <w:t xml:space="preserve"> </w:t>
      </w:r>
      <w:r>
        <w:rPr>
          <w:b/>
          <w:sz w:val="28"/>
          <w:szCs w:val="28"/>
        </w:rPr>
        <w:t xml:space="preserve"> </w:t>
      </w:r>
      <w:r w:rsidRPr="00D86C06">
        <w:rPr>
          <w:b/>
          <w:sz w:val="28"/>
          <w:szCs w:val="28"/>
        </w:rPr>
        <w:t xml:space="preserve">   </w:t>
      </w:r>
      <w:r w:rsidRPr="00E0216E">
        <w:rPr>
          <w:b/>
          <w:sz w:val="28"/>
          <w:szCs w:val="28"/>
          <w:u w:val="single"/>
        </w:rPr>
        <w:t xml:space="preserve">Advanced </w:t>
      </w:r>
      <w:r>
        <w:rPr>
          <w:b/>
          <w:sz w:val="28"/>
          <w:szCs w:val="28"/>
          <w:u w:val="single"/>
        </w:rPr>
        <w:t>Organic</w:t>
      </w:r>
      <w:r w:rsidRPr="00E0216E">
        <w:rPr>
          <w:b/>
          <w:sz w:val="28"/>
          <w:szCs w:val="28"/>
          <w:u w:val="single"/>
        </w:rPr>
        <w:t xml:space="preserve"> Chemistry</w:t>
      </w:r>
      <w:r>
        <w:rPr>
          <w:b/>
          <w:sz w:val="28"/>
          <w:szCs w:val="28"/>
          <w:u w:val="single"/>
        </w:rPr>
        <w:t xml:space="preserve"> </w:t>
      </w:r>
      <w:r w:rsidRPr="00E0216E">
        <w:rPr>
          <w:b/>
          <w:sz w:val="28"/>
          <w:szCs w:val="28"/>
          <w:u w:val="single"/>
        </w:rPr>
        <w:t>CH</w:t>
      </w:r>
      <w:r>
        <w:rPr>
          <w:b/>
          <w:sz w:val="28"/>
          <w:szCs w:val="28"/>
          <w:u w:val="single"/>
        </w:rPr>
        <w:t>-</w:t>
      </w:r>
      <w:r w:rsidRPr="00E0216E">
        <w:rPr>
          <w:b/>
          <w:sz w:val="28"/>
          <w:szCs w:val="28"/>
          <w:u w:val="single"/>
        </w:rPr>
        <w:t>50</w:t>
      </w:r>
      <w:r>
        <w:rPr>
          <w:b/>
          <w:sz w:val="28"/>
          <w:szCs w:val="28"/>
          <w:u w:val="single"/>
        </w:rPr>
        <w:t>9</w:t>
      </w:r>
    </w:p>
    <w:p w:rsidR="00FB6205" w:rsidRDefault="00FB6205" w:rsidP="00FB6205">
      <w:pPr>
        <w:tabs>
          <w:tab w:val="left" w:pos="578"/>
          <w:tab w:val="left" w:pos="3131"/>
          <w:tab w:val="left" w:pos="5607"/>
          <w:tab w:val="left" w:pos="8082"/>
          <w:tab w:val="left" w:pos="9611"/>
        </w:tabs>
        <w:jc w:val="center"/>
        <w:rPr>
          <w:b/>
          <w:sz w:val="32"/>
          <w:szCs w:val="28"/>
        </w:rPr>
      </w:pPr>
    </w:p>
    <w:p w:rsidR="00276707" w:rsidRPr="00FB1B18" w:rsidRDefault="00FB6205" w:rsidP="00FB6205">
      <w:pPr>
        <w:jc w:val="center"/>
        <w:rPr>
          <w:b/>
        </w:rPr>
      </w:pPr>
      <w:r w:rsidRPr="00A5682F">
        <w:rPr>
          <w:b/>
          <w:sz w:val="32"/>
          <w:szCs w:val="28"/>
        </w:rPr>
        <w:t>Lecture plan (</w:t>
      </w:r>
      <w:r>
        <w:rPr>
          <w:b/>
          <w:sz w:val="32"/>
          <w:szCs w:val="28"/>
        </w:rPr>
        <w:t>Fall 20</w:t>
      </w:r>
      <w:r w:rsidR="00540AD8">
        <w:rPr>
          <w:b/>
          <w:sz w:val="32"/>
          <w:szCs w:val="28"/>
        </w:rPr>
        <w:t>20</w:t>
      </w:r>
      <w:r w:rsidRPr="00A5682F">
        <w:rPr>
          <w:b/>
          <w:sz w:val="32"/>
          <w:szCs w:val="28"/>
        </w:rPr>
        <w:t>)</w:t>
      </w:r>
    </w:p>
    <w:tbl>
      <w:tblPr>
        <w:tblW w:w="7830"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6660"/>
      </w:tblGrid>
      <w:tr w:rsidR="00614674" w:rsidRPr="00FB1B18" w:rsidTr="001B0717">
        <w:tc>
          <w:tcPr>
            <w:tcW w:w="1170" w:type="dxa"/>
          </w:tcPr>
          <w:p w:rsidR="00614674" w:rsidRPr="00FB1B18" w:rsidRDefault="00614674" w:rsidP="001B0717">
            <w:pPr>
              <w:spacing w:before="60" w:after="60"/>
              <w:jc w:val="center"/>
              <w:rPr>
                <w:b/>
                <w:sz w:val="28"/>
                <w:szCs w:val="28"/>
              </w:rPr>
            </w:pPr>
            <w:r w:rsidRPr="00FB1B18">
              <w:rPr>
                <w:b/>
                <w:sz w:val="28"/>
                <w:szCs w:val="28"/>
              </w:rPr>
              <w:t>Week</w:t>
            </w:r>
          </w:p>
        </w:tc>
        <w:tc>
          <w:tcPr>
            <w:tcW w:w="6660" w:type="dxa"/>
          </w:tcPr>
          <w:p w:rsidR="00614674" w:rsidRPr="00FB1B18" w:rsidRDefault="00614674" w:rsidP="001B0717">
            <w:pPr>
              <w:spacing w:before="60" w:after="60"/>
              <w:jc w:val="center"/>
              <w:rPr>
                <w:b/>
                <w:sz w:val="28"/>
                <w:szCs w:val="28"/>
              </w:rPr>
            </w:pPr>
            <w:r w:rsidRPr="00FB1B18">
              <w:rPr>
                <w:b/>
                <w:sz w:val="28"/>
                <w:szCs w:val="28"/>
              </w:rPr>
              <w:t>TOPICS</w:t>
            </w:r>
          </w:p>
        </w:tc>
      </w:tr>
      <w:tr w:rsidR="00614674" w:rsidRPr="00FB1B18" w:rsidTr="001B0717">
        <w:tc>
          <w:tcPr>
            <w:tcW w:w="1170" w:type="dxa"/>
            <w:vAlign w:val="center"/>
          </w:tcPr>
          <w:p w:rsidR="00614674" w:rsidRPr="00FB1B18" w:rsidRDefault="00614674" w:rsidP="001B0717">
            <w:pPr>
              <w:spacing w:before="60" w:after="60"/>
              <w:jc w:val="center"/>
            </w:pPr>
            <w:r w:rsidRPr="00FB1B18">
              <w:t>1</w:t>
            </w:r>
          </w:p>
        </w:tc>
        <w:tc>
          <w:tcPr>
            <w:tcW w:w="6660" w:type="dxa"/>
          </w:tcPr>
          <w:p w:rsidR="00614674" w:rsidRPr="00FB1B18" w:rsidRDefault="00325923" w:rsidP="001B0717">
            <w:pPr>
              <w:spacing w:before="60" w:after="60"/>
            </w:pPr>
            <w:r w:rsidRPr="00325923">
              <w:t>Mechanism &amp; Reactions: Reduction</w:t>
            </w:r>
          </w:p>
        </w:tc>
      </w:tr>
      <w:tr w:rsidR="00614674" w:rsidRPr="00FB1B18" w:rsidTr="001B0717">
        <w:tc>
          <w:tcPr>
            <w:tcW w:w="1170" w:type="dxa"/>
            <w:vAlign w:val="center"/>
          </w:tcPr>
          <w:p w:rsidR="00614674" w:rsidRPr="00FB1B18" w:rsidRDefault="00614674" w:rsidP="001B0717">
            <w:pPr>
              <w:spacing w:before="60" w:after="60"/>
              <w:jc w:val="center"/>
            </w:pPr>
            <w:r w:rsidRPr="00FB1B18">
              <w:t>2</w:t>
            </w:r>
          </w:p>
        </w:tc>
        <w:tc>
          <w:tcPr>
            <w:tcW w:w="6660" w:type="dxa"/>
          </w:tcPr>
          <w:p w:rsidR="00614674" w:rsidRPr="00FB1B18" w:rsidRDefault="00253511" w:rsidP="001B0717">
            <w:pPr>
              <w:spacing w:before="60" w:after="60"/>
            </w:pPr>
            <w:r w:rsidRPr="00253511">
              <w:t>Mechanism &amp; Reactions: Oxidation</w:t>
            </w:r>
          </w:p>
        </w:tc>
      </w:tr>
      <w:tr w:rsidR="00614674" w:rsidRPr="00FB1B18" w:rsidTr="001B0717">
        <w:tc>
          <w:tcPr>
            <w:tcW w:w="1170" w:type="dxa"/>
            <w:vAlign w:val="center"/>
          </w:tcPr>
          <w:p w:rsidR="00614674" w:rsidRPr="00FB1B18" w:rsidRDefault="00614674" w:rsidP="001B0717">
            <w:pPr>
              <w:spacing w:before="60" w:after="60"/>
              <w:jc w:val="center"/>
            </w:pPr>
            <w:r w:rsidRPr="00FB1B18">
              <w:t>3</w:t>
            </w:r>
          </w:p>
        </w:tc>
        <w:tc>
          <w:tcPr>
            <w:tcW w:w="6660" w:type="dxa"/>
          </w:tcPr>
          <w:p w:rsidR="00614674" w:rsidRPr="00FB1B18" w:rsidRDefault="00253511" w:rsidP="001B0717">
            <w:pPr>
              <w:spacing w:before="60" w:after="60"/>
            </w:pPr>
            <w:r w:rsidRPr="00253511">
              <w:t>Conformational isomerism: In open chain system, In six membered rings, Ring strain and reaction mechanism</w:t>
            </w:r>
          </w:p>
        </w:tc>
      </w:tr>
      <w:tr w:rsidR="00614674" w:rsidRPr="00FB1B18" w:rsidTr="005253E6">
        <w:trPr>
          <w:trHeight w:val="811"/>
        </w:trPr>
        <w:tc>
          <w:tcPr>
            <w:tcW w:w="1170" w:type="dxa"/>
            <w:vAlign w:val="center"/>
          </w:tcPr>
          <w:p w:rsidR="00614674" w:rsidRPr="00FB1B18" w:rsidRDefault="00614674" w:rsidP="001B0717">
            <w:pPr>
              <w:spacing w:before="60" w:after="60"/>
              <w:jc w:val="center"/>
            </w:pPr>
            <w:r>
              <w:t>4</w:t>
            </w:r>
          </w:p>
        </w:tc>
        <w:tc>
          <w:tcPr>
            <w:tcW w:w="6660" w:type="dxa"/>
          </w:tcPr>
          <w:p w:rsidR="00614674" w:rsidRPr="00FB1B18" w:rsidRDefault="00253511" w:rsidP="005253E6">
            <w:pPr>
              <w:spacing w:before="60" w:after="60"/>
            </w:pPr>
            <w:r w:rsidRPr="00253511">
              <w:t xml:space="preserve">Stereochemistry: Nomenclature and Configuration of Chiral compounds, , Molecules with more than one </w:t>
            </w:r>
            <w:proofErr w:type="spellStart"/>
            <w:r w:rsidRPr="00253511">
              <w:t>stereocenters</w:t>
            </w:r>
            <w:proofErr w:type="spellEnd"/>
            <w:r w:rsidRPr="00253511">
              <w:t>, Method of resolution, Asymmetric synthesis</w:t>
            </w:r>
          </w:p>
        </w:tc>
      </w:tr>
      <w:tr w:rsidR="00614674" w:rsidRPr="00FB1B18" w:rsidTr="001B0717">
        <w:tc>
          <w:tcPr>
            <w:tcW w:w="1170" w:type="dxa"/>
            <w:vAlign w:val="center"/>
          </w:tcPr>
          <w:p w:rsidR="00614674" w:rsidRPr="00FB1B18" w:rsidRDefault="00614674" w:rsidP="001B0717">
            <w:pPr>
              <w:spacing w:before="60" w:after="60"/>
              <w:jc w:val="center"/>
            </w:pPr>
            <w:r>
              <w:t>5</w:t>
            </w:r>
          </w:p>
        </w:tc>
        <w:tc>
          <w:tcPr>
            <w:tcW w:w="6660" w:type="dxa"/>
          </w:tcPr>
          <w:p w:rsidR="00614674" w:rsidRPr="00FB1B18" w:rsidRDefault="00253511" w:rsidP="001B0717">
            <w:pPr>
              <w:spacing w:before="60" w:after="60"/>
            </w:pPr>
            <w:r w:rsidRPr="00253511">
              <w:t xml:space="preserve">Geometric Isomerism: In double bond, In monocyclic Compounds, In fused and bridged ring structure, stereospecific and </w:t>
            </w:r>
            <w:proofErr w:type="spellStart"/>
            <w:r w:rsidRPr="00253511">
              <w:t>stereoselective</w:t>
            </w:r>
            <w:proofErr w:type="spellEnd"/>
            <w:r w:rsidRPr="00253511">
              <w:t xml:space="preserve"> syntheses</w:t>
            </w:r>
          </w:p>
        </w:tc>
      </w:tr>
      <w:tr w:rsidR="00614674" w:rsidRPr="00FB1B18" w:rsidTr="001B0717">
        <w:tc>
          <w:tcPr>
            <w:tcW w:w="1170" w:type="dxa"/>
            <w:vAlign w:val="center"/>
          </w:tcPr>
          <w:p w:rsidR="00614674" w:rsidRPr="00FB1B18" w:rsidRDefault="00614674" w:rsidP="001B0717">
            <w:pPr>
              <w:spacing w:before="60" w:after="60"/>
              <w:jc w:val="center"/>
            </w:pPr>
            <w:r>
              <w:t>6</w:t>
            </w:r>
          </w:p>
        </w:tc>
        <w:tc>
          <w:tcPr>
            <w:tcW w:w="6660" w:type="dxa"/>
          </w:tcPr>
          <w:p w:rsidR="00614674" w:rsidRPr="00FB1B18" w:rsidRDefault="00325923" w:rsidP="001B0717">
            <w:pPr>
              <w:spacing w:before="60" w:after="60"/>
            </w:pPr>
            <w:proofErr w:type="spellStart"/>
            <w:r w:rsidRPr="00325923">
              <w:t>Carbocations</w:t>
            </w:r>
            <w:proofErr w:type="spellEnd"/>
            <w:r w:rsidRPr="00325923">
              <w:t xml:space="preserve"> &amp; </w:t>
            </w:r>
            <w:proofErr w:type="spellStart"/>
            <w:r w:rsidRPr="00325923">
              <w:t>Carbanions</w:t>
            </w:r>
            <w:proofErr w:type="spellEnd"/>
            <w:r w:rsidRPr="00325923">
              <w:t>: Naming, Stability, Structure, Generation &amp; Reactions</w:t>
            </w:r>
          </w:p>
        </w:tc>
      </w:tr>
      <w:tr w:rsidR="00614674" w:rsidRPr="00FB1B18" w:rsidTr="001B0717">
        <w:tc>
          <w:tcPr>
            <w:tcW w:w="1170" w:type="dxa"/>
            <w:vAlign w:val="center"/>
          </w:tcPr>
          <w:p w:rsidR="00614674" w:rsidRPr="00FB1B18" w:rsidRDefault="00614674" w:rsidP="001B0717">
            <w:pPr>
              <w:spacing w:before="60" w:after="60"/>
              <w:jc w:val="center"/>
            </w:pPr>
            <w:r>
              <w:t>7</w:t>
            </w:r>
          </w:p>
        </w:tc>
        <w:tc>
          <w:tcPr>
            <w:tcW w:w="6660" w:type="dxa"/>
          </w:tcPr>
          <w:p w:rsidR="00614674" w:rsidRPr="00FB1B18" w:rsidRDefault="00325923" w:rsidP="00325923">
            <w:pPr>
              <w:spacing w:before="60" w:after="60"/>
            </w:pPr>
            <w:r>
              <w:t xml:space="preserve">Free radicals &amp; </w:t>
            </w:r>
            <w:proofErr w:type="spellStart"/>
            <w:r>
              <w:t>C</w:t>
            </w:r>
            <w:r w:rsidRPr="0009490D">
              <w:t>arb</w:t>
            </w:r>
            <w:r>
              <w:t>enes</w:t>
            </w:r>
            <w:proofErr w:type="spellEnd"/>
            <w:r>
              <w:t>: Stability, Structure, Generation &amp; Reactions</w:t>
            </w:r>
          </w:p>
        </w:tc>
      </w:tr>
      <w:tr w:rsidR="00614674" w:rsidRPr="00FB1B18" w:rsidTr="001B0717">
        <w:tc>
          <w:tcPr>
            <w:tcW w:w="1170" w:type="dxa"/>
            <w:vAlign w:val="center"/>
          </w:tcPr>
          <w:p w:rsidR="00614674" w:rsidRPr="00FB1B18" w:rsidRDefault="00614674" w:rsidP="001B0717">
            <w:pPr>
              <w:spacing w:before="60" w:after="60"/>
              <w:jc w:val="center"/>
            </w:pPr>
            <w:r>
              <w:t>8</w:t>
            </w:r>
          </w:p>
        </w:tc>
        <w:tc>
          <w:tcPr>
            <w:tcW w:w="6660" w:type="dxa"/>
          </w:tcPr>
          <w:p w:rsidR="00614674" w:rsidRPr="00FB1B18" w:rsidRDefault="00325923" w:rsidP="001B0717">
            <w:pPr>
              <w:spacing w:before="60" w:after="60"/>
            </w:pPr>
            <w:r w:rsidRPr="00325923">
              <w:t>Nucleophilic Rearrangements: Wagner-</w:t>
            </w:r>
            <w:proofErr w:type="spellStart"/>
            <w:r w:rsidRPr="00325923">
              <w:t>Meerwein</w:t>
            </w:r>
            <w:proofErr w:type="spellEnd"/>
            <w:r w:rsidRPr="00325923">
              <w:t xml:space="preserve">; </w:t>
            </w:r>
            <w:proofErr w:type="spellStart"/>
            <w:r w:rsidRPr="00325923">
              <w:t>Pinacol</w:t>
            </w:r>
            <w:proofErr w:type="spellEnd"/>
            <w:r w:rsidRPr="00325923">
              <w:t xml:space="preserve">; </w:t>
            </w:r>
            <w:proofErr w:type="spellStart"/>
            <w:r w:rsidRPr="00325923">
              <w:t>Semipinacol</w:t>
            </w:r>
            <w:proofErr w:type="spellEnd"/>
            <w:r w:rsidRPr="00325923">
              <w:t xml:space="preserve">; </w:t>
            </w:r>
            <w:proofErr w:type="spellStart"/>
            <w:r w:rsidRPr="00325923">
              <w:t>Tiffeneau-Demjanov</w:t>
            </w:r>
            <w:proofErr w:type="spellEnd"/>
            <w:r w:rsidRPr="00325923">
              <w:t xml:space="preserve">; </w:t>
            </w:r>
            <w:proofErr w:type="spellStart"/>
            <w:r w:rsidRPr="00325923">
              <w:t>Benzil-Benzilic</w:t>
            </w:r>
            <w:proofErr w:type="spellEnd"/>
            <w:r w:rsidRPr="00325923">
              <w:t xml:space="preserve"> Acid; Beckmann; Baeyer-</w:t>
            </w:r>
            <w:proofErr w:type="spellStart"/>
            <w:r w:rsidRPr="00325923">
              <w:t>Villiger</w:t>
            </w:r>
            <w:proofErr w:type="spellEnd"/>
          </w:p>
        </w:tc>
      </w:tr>
      <w:tr w:rsidR="00614674" w:rsidRPr="00FB1B18" w:rsidTr="001B0717">
        <w:tc>
          <w:tcPr>
            <w:tcW w:w="1170" w:type="dxa"/>
            <w:vAlign w:val="center"/>
          </w:tcPr>
          <w:p w:rsidR="00614674" w:rsidRDefault="00614674" w:rsidP="001B0717">
            <w:pPr>
              <w:spacing w:before="60" w:after="60"/>
              <w:jc w:val="center"/>
            </w:pPr>
            <w:r>
              <w:t>9</w:t>
            </w:r>
          </w:p>
        </w:tc>
        <w:tc>
          <w:tcPr>
            <w:tcW w:w="6660" w:type="dxa"/>
          </w:tcPr>
          <w:p w:rsidR="00614674" w:rsidRDefault="00325923" w:rsidP="00325923">
            <w:pPr>
              <w:spacing w:before="60" w:after="60"/>
              <w:jc w:val="center"/>
            </w:pPr>
            <w:r w:rsidRPr="00325923">
              <w:t>MID TERM</w:t>
            </w:r>
          </w:p>
        </w:tc>
      </w:tr>
      <w:tr w:rsidR="00614674" w:rsidRPr="00FB1B18" w:rsidTr="001B0717">
        <w:tc>
          <w:tcPr>
            <w:tcW w:w="1170" w:type="dxa"/>
            <w:vAlign w:val="center"/>
          </w:tcPr>
          <w:p w:rsidR="00614674" w:rsidRPr="00FB1B18" w:rsidRDefault="00614674" w:rsidP="001B0717">
            <w:pPr>
              <w:spacing w:before="60" w:after="60"/>
              <w:jc w:val="center"/>
            </w:pPr>
            <w:r>
              <w:t>10</w:t>
            </w:r>
          </w:p>
        </w:tc>
        <w:tc>
          <w:tcPr>
            <w:tcW w:w="6660" w:type="dxa"/>
          </w:tcPr>
          <w:p w:rsidR="00614674" w:rsidRPr="00FB1B18" w:rsidRDefault="00325923" w:rsidP="001B0717">
            <w:pPr>
              <w:spacing w:before="60" w:after="60"/>
            </w:pPr>
            <w:r w:rsidRPr="00325923">
              <w:t xml:space="preserve">Electrophilic Rearrangements: </w:t>
            </w:r>
            <w:proofErr w:type="spellStart"/>
            <w:r w:rsidRPr="00325923">
              <w:t>Favorskii</w:t>
            </w:r>
            <w:proofErr w:type="spellEnd"/>
            <w:r w:rsidRPr="00325923">
              <w:t xml:space="preserve">; Stevens; </w:t>
            </w:r>
            <w:proofErr w:type="spellStart"/>
            <w:r w:rsidRPr="00325923">
              <w:t>Sommelet</w:t>
            </w:r>
            <w:proofErr w:type="spellEnd"/>
            <w:r w:rsidRPr="00325923">
              <w:t>–Hauser; Wittig; Fries.</w:t>
            </w:r>
          </w:p>
        </w:tc>
      </w:tr>
      <w:tr w:rsidR="00614674" w:rsidRPr="00FB1B18" w:rsidTr="001B0717">
        <w:tc>
          <w:tcPr>
            <w:tcW w:w="1170" w:type="dxa"/>
            <w:vAlign w:val="center"/>
          </w:tcPr>
          <w:p w:rsidR="00614674" w:rsidRPr="00FB1B18" w:rsidRDefault="00614674" w:rsidP="001B0717">
            <w:pPr>
              <w:spacing w:before="60" w:after="60"/>
              <w:jc w:val="center"/>
            </w:pPr>
            <w:r>
              <w:t>11</w:t>
            </w:r>
          </w:p>
        </w:tc>
        <w:tc>
          <w:tcPr>
            <w:tcW w:w="6660" w:type="dxa"/>
          </w:tcPr>
          <w:p w:rsidR="00614674" w:rsidRPr="00FB1B18" w:rsidRDefault="00325923" w:rsidP="001B0717">
            <w:pPr>
              <w:spacing w:before="60" w:after="60"/>
            </w:pPr>
            <w:r w:rsidRPr="00325923">
              <w:t xml:space="preserve">Free Radical Rearrangements: </w:t>
            </w:r>
            <w:proofErr w:type="spellStart"/>
            <w:r w:rsidRPr="00325923">
              <w:t>Hunsdiecker</w:t>
            </w:r>
            <w:proofErr w:type="spellEnd"/>
            <w:r w:rsidRPr="00325923">
              <w:t xml:space="preserve">; Barton Decarboxylation; </w:t>
            </w:r>
            <w:proofErr w:type="spellStart"/>
            <w:r w:rsidRPr="00325923">
              <w:t>Sandmeyer</w:t>
            </w:r>
            <w:proofErr w:type="spellEnd"/>
            <w:r w:rsidRPr="00325923">
              <w:t xml:space="preserve">; Kolbe electrolysis; </w:t>
            </w:r>
            <w:proofErr w:type="spellStart"/>
            <w:r w:rsidRPr="00325923">
              <w:t>Gomberg</w:t>
            </w:r>
            <w:proofErr w:type="spellEnd"/>
            <w:r w:rsidRPr="00325923">
              <w:t>–Bachmann.</w:t>
            </w:r>
          </w:p>
        </w:tc>
      </w:tr>
      <w:tr w:rsidR="00614674" w:rsidRPr="00FB1B18" w:rsidTr="001B0717">
        <w:tc>
          <w:tcPr>
            <w:tcW w:w="1170" w:type="dxa"/>
            <w:vAlign w:val="center"/>
          </w:tcPr>
          <w:p w:rsidR="00614674" w:rsidRPr="00FB1B18" w:rsidRDefault="00614674" w:rsidP="001B0717">
            <w:pPr>
              <w:spacing w:before="60" w:after="60"/>
              <w:jc w:val="center"/>
            </w:pPr>
            <w:r>
              <w:t>12</w:t>
            </w:r>
          </w:p>
        </w:tc>
        <w:tc>
          <w:tcPr>
            <w:tcW w:w="6660" w:type="dxa"/>
          </w:tcPr>
          <w:p w:rsidR="00614674" w:rsidRPr="00FB1B18" w:rsidRDefault="00614674" w:rsidP="001B0717">
            <w:pPr>
              <w:spacing w:before="60" w:after="60"/>
            </w:pPr>
            <w:r>
              <w:t xml:space="preserve">Aliphatic and Aromatic </w:t>
            </w:r>
            <w:r w:rsidRPr="00FB1B18">
              <w:t>Nucleophilic Substitution reactions</w:t>
            </w:r>
            <w:r>
              <w:t>:</w:t>
            </w:r>
            <w:r w:rsidRPr="00FB1B18">
              <w:t xml:space="preserve"> Mechanism</w:t>
            </w:r>
            <w:r>
              <w:t>, S</w:t>
            </w:r>
            <w:r w:rsidRPr="00011F2C">
              <w:rPr>
                <w:vertAlign w:val="subscript"/>
              </w:rPr>
              <w:t>N</w:t>
            </w:r>
            <w:r>
              <w:t>2, S</w:t>
            </w:r>
            <w:r w:rsidRPr="00011F2C">
              <w:rPr>
                <w:vertAlign w:val="subscript"/>
              </w:rPr>
              <w:t>N</w:t>
            </w:r>
            <w:r>
              <w:t xml:space="preserve">1, </w:t>
            </w:r>
            <w:proofErr w:type="spellStart"/>
            <w:r>
              <w:t>S</w:t>
            </w:r>
            <w:r w:rsidRPr="00011F2C">
              <w:rPr>
                <w:vertAlign w:val="subscript"/>
              </w:rPr>
              <w:t>N</w:t>
            </w:r>
            <w:r>
              <w:t>i</w:t>
            </w:r>
            <w:proofErr w:type="spellEnd"/>
            <w:r>
              <w:t xml:space="preserve">, Ion pairs, </w:t>
            </w:r>
            <w:proofErr w:type="spellStart"/>
            <w:r>
              <w:t>Allylic</w:t>
            </w:r>
            <w:proofErr w:type="spellEnd"/>
            <w:r>
              <w:t xml:space="preserve"> </w:t>
            </w:r>
            <w:proofErr w:type="spellStart"/>
            <w:r>
              <w:t>Rearangements</w:t>
            </w:r>
            <w:proofErr w:type="spellEnd"/>
          </w:p>
        </w:tc>
      </w:tr>
      <w:tr w:rsidR="00614674" w:rsidRPr="00FB1B18" w:rsidTr="001B0717">
        <w:tc>
          <w:tcPr>
            <w:tcW w:w="1170" w:type="dxa"/>
            <w:vAlign w:val="center"/>
          </w:tcPr>
          <w:p w:rsidR="00614674" w:rsidRPr="00FB1B18" w:rsidRDefault="00614674" w:rsidP="001B0717">
            <w:pPr>
              <w:spacing w:before="60" w:after="60"/>
              <w:jc w:val="center"/>
            </w:pPr>
            <w:r>
              <w:t>13</w:t>
            </w:r>
          </w:p>
        </w:tc>
        <w:tc>
          <w:tcPr>
            <w:tcW w:w="6660" w:type="dxa"/>
          </w:tcPr>
          <w:p w:rsidR="00614674" w:rsidRPr="00193399" w:rsidRDefault="00614674" w:rsidP="001B0717">
            <w:pPr>
              <w:spacing w:before="60" w:after="60"/>
              <w:rPr>
                <w:b/>
              </w:rPr>
            </w:pPr>
            <w:r>
              <w:t>Aromatic Electro</w:t>
            </w:r>
            <w:r w:rsidRPr="00FB1B18">
              <w:t>philic Substitution reactions</w:t>
            </w:r>
            <w:r>
              <w:t>:</w:t>
            </w:r>
            <w:r w:rsidRPr="00FB1B18">
              <w:t xml:space="preserve"> Mechanism</w:t>
            </w:r>
            <w:r>
              <w:t>, S</w:t>
            </w:r>
            <w:r>
              <w:rPr>
                <w:vertAlign w:val="subscript"/>
              </w:rPr>
              <w:t>E</w:t>
            </w:r>
            <w:r>
              <w:t>1, Ortho/Para ratio, Ipso Attack, Orientation in ring system</w:t>
            </w:r>
          </w:p>
        </w:tc>
      </w:tr>
      <w:tr w:rsidR="00614674" w:rsidRPr="00FB1B18" w:rsidTr="001B0717">
        <w:tc>
          <w:tcPr>
            <w:tcW w:w="1170" w:type="dxa"/>
            <w:vAlign w:val="center"/>
          </w:tcPr>
          <w:p w:rsidR="00614674" w:rsidRPr="00FB1B18" w:rsidRDefault="00614674" w:rsidP="001B0717">
            <w:pPr>
              <w:spacing w:before="60" w:after="60"/>
              <w:jc w:val="center"/>
            </w:pPr>
            <w:r>
              <w:t>14</w:t>
            </w:r>
          </w:p>
        </w:tc>
        <w:tc>
          <w:tcPr>
            <w:tcW w:w="6660" w:type="dxa"/>
          </w:tcPr>
          <w:p w:rsidR="00614674" w:rsidRPr="00FB1B18" w:rsidRDefault="00614674" w:rsidP="001B0717">
            <w:pPr>
              <w:spacing w:before="60" w:after="60"/>
            </w:pPr>
            <w:r>
              <w:t>Aliphatic Electro</w:t>
            </w:r>
            <w:r w:rsidRPr="00FB1B18">
              <w:t>philic Substitution reactions</w:t>
            </w:r>
            <w:r>
              <w:t>:</w:t>
            </w:r>
            <w:r w:rsidRPr="00FB1B18">
              <w:t xml:space="preserve"> Mechanism</w:t>
            </w:r>
            <w:r>
              <w:t>, S</w:t>
            </w:r>
            <w:r>
              <w:rPr>
                <w:vertAlign w:val="subscript"/>
              </w:rPr>
              <w:t>E</w:t>
            </w:r>
            <w:r>
              <w:t xml:space="preserve">2, </w:t>
            </w:r>
            <w:proofErr w:type="spellStart"/>
            <w:r>
              <w:t>S</w:t>
            </w:r>
            <w:r>
              <w:rPr>
                <w:vertAlign w:val="subscript"/>
              </w:rPr>
              <w:t>E</w:t>
            </w:r>
            <w:r>
              <w:t>i</w:t>
            </w:r>
            <w:proofErr w:type="spellEnd"/>
            <w:r>
              <w:t>, Reactivity</w:t>
            </w:r>
          </w:p>
        </w:tc>
      </w:tr>
      <w:tr w:rsidR="00614674" w:rsidRPr="00FB1B18" w:rsidTr="001B0717">
        <w:tc>
          <w:tcPr>
            <w:tcW w:w="1170" w:type="dxa"/>
            <w:vAlign w:val="center"/>
          </w:tcPr>
          <w:p w:rsidR="00614674" w:rsidRPr="00FB1B18" w:rsidRDefault="00614674" w:rsidP="001B0717">
            <w:pPr>
              <w:spacing w:before="60" w:after="60"/>
              <w:jc w:val="center"/>
            </w:pPr>
            <w:r>
              <w:t>15</w:t>
            </w:r>
          </w:p>
        </w:tc>
        <w:tc>
          <w:tcPr>
            <w:tcW w:w="6660" w:type="dxa"/>
          </w:tcPr>
          <w:p w:rsidR="00614674" w:rsidRPr="00FB1B18" w:rsidRDefault="00614674" w:rsidP="001B0717">
            <w:pPr>
              <w:spacing w:before="60" w:after="60"/>
            </w:pPr>
            <w:r w:rsidRPr="00FB1B18">
              <w:t>Elimination reactions</w:t>
            </w:r>
            <w:r>
              <w:t xml:space="preserve">: </w:t>
            </w:r>
            <w:r w:rsidRPr="00FB1B18">
              <w:t>Mechanism</w:t>
            </w:r>
            <w:r>
              <w:t xml:space="preserve">, E2, E1, E1cB, E2C, </w:t>
            </w:r>
            <w:proofErr w:type="spellStart"/>
            <w:r>
              <w:t>Regiochemistry</w:t>
            </w:r>
            <w:proofErr w:type="spellEnd"/>
            <w:r>
              <w:t xml:space="preserve"> of Double bond</w:t>
            </w:r>
          </w:p>
        </w:tc>
      </w:tr>
      <w:tr w:rsidR="009B6EE7" w:rsidRPr="00FB1B18" w:rsidTr="001B0717">
        <w:tc>
          <w:tcPr>
            <w:tcW w:w="1170" w:type="dxa"/>
            <w:vAlign w:val="center"/>
          </w:tcPr>
          <w:p w:rsidR="009B6EE7" w:rsidRDefault="009B6EE7" w:rsidP="001B0717">
            <w:pPr>
              <w:spacing w:before="60" w:after="60"/>
              <w:jc w:val="center"/>
            </w:pPr>
            <w:r>
              <w:t>16</w:t>
            </w:r>
          </w:p>
        </w:tc>
        <w:tc>
          <w:tcPr>
            <w:tcW w:w="6660" w:type="dxa"/>
          </w:tcPr>
          <w:p w:rsidR="009B6EE7" w:rsidRPr="00FB1B18" w:rsidRDefault="009B6EE7" w:rsidP="001B0717">
            <w:pPr>
              <w:spacing w:before="60" w:after="60"/>
            </w:pPr>
            <w:r>
              <w:t>Overview of the Elimination and Substitution Reactions</w:t>
            </w:r>
          </w:p>
        </w:tc>
      </w:tr>
    </w:tbl>
    <w:p w:rsidR="005D5C20" w:rsidRPr="00FB1B18" w:rsidRDefault="005D5C20" w:rsidP="00FD47E2">
      <w:pPr>
        <w:tabs>
          <w:tab w:val="left" w:pos="578"/>
          <w:tab w:val="left" w:pos="3131"/>
          <w:tab w:val="left" w:pos="5607"/>
          <w:tab w:val="left" w:pos="8082"/>
          <w:tab w:val="left" w:pos="9611"/>
        </w:tabs>
        <w:rPr>
          <w:b/>
        </w:rPr>
      </w:pPr>
    </w:p>
    <w:sectPr w:rsidR="005D5C20" w:rsidRPr="00FB1B18" w:rsidSect="009967E7">
      <w:pgSz w:w="11909" w:h="16834" w:code="9"/>
      <w:pgMar w:top="187" w:right="1152" w:bottom="432"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476BC9"/>
    <w:multiLevelType w:val="hybridMultilevel"/>
    <w:tmpl w:val="799E0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D91407"/>
    <w:multiLevelType w:val="hybridMultilevel"/>
    <w:tmpl w:val="EFB47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9"/>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3"/>
  </w:num>
  <w:num w:numId="21">
    <w:abstractNumId w:val="23"/>
  </w:num>
  <w:num w:numId="22">
    <w:abstractNumId w:val="22"/>
  </w:num>
  <w:num w:numId="23">
    <w:abstractNumId w:val="28"/>
  </w:num>
  <w:num w:numId="24">
    <w:abstractNumId w:val="20"/>
  </w:num>
  <w:num w:numId="25">
    <w:abstractNumId w:val="12"/>
  </w:num>
  <w:num w:numId="26">
    <w:abstractNumId w:val="24"/>
  </w:num>
  <w:num w:numId="27">
    <w:abstractNumId w:val="32"/>
  </w:num>
  <w:num w:numId="28">
    <w:abstractNumId w:val="14"/>
  </w:num>
  <w:num w:numId="29">
    <w:abstractNumId w:val="13"/>
  </w:num>
  <w:num w:numId="30">
    <w:abstractNumId w:val="30"/>
  </w:num>
  <w:num w:numId="31">
    <w:abstractNumId w:val="17"/>
  </w:num>
  <w:num w:numId="32">
    <w:abstractNumId w:val="19"/>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6"/>
    <w:rsid w:val="00002666"/>
    <w:rsid w:val="000030BC"/>
    <w:rsid w:val="0000609F"/>
    <w:rsid w:val="00011F2C"/>
    <w:rsid w:val="00012B3A"/>
    <w:rsid w:val="00022819"/>
    <w:rsid w:val="0002303D"/>
    <w:rsid w:val="00041D7B"/>
    <w:rsid w:val="000439CD"/>
    <w:rsid w:val="00044AC3"/>
    <w:rsid w:val="000461AD"/>
    <w:rsid w:val="00047AE8"/>
    <w:rsid w:val="00050911"/>
    <w:rsid w:val="00050F56"/>
    <w:rsid w:val="00051570"/>
    <w:rsid w:val="000620D6"/>
    <w:rsid w:val="00064FD3"/>
    <w:rsid w:val="0006758D"/>
    <w:rsid w:val="00070254"/>
    <w:rsid w:val="00071AFA"/>
    <w:rsid w:val="00074041"/>
    <w:rsid w:val="0008165F"/>
    <w:rsid w:val="00081A86"/>
    <w:rsid w:val="00087077"/>
    <w:rsid w:val="00093673"/>
    <w:rsid w:val="0009490D"/>
    <w:rsid w:val="000A47F9"/>
    <w:rsid w:val="000A6D3C"/>
    <w:rsid w:val="000B2F68"/>
    <w:rsid w:val="000B353D"/>
    <w:rsid w:val="000B4317"/>
    <w:rsid w:val="000D45F8"/>
    <w:rsid w:val="000D47D1"/>
    <w:rsid w:val="000D6E6A"/>
    <w:rsid w:val="000E04FB"/>
    <w:rsid w:val="000E2B4F"/>
    <w:rsid w:val="000E3867"/>
    <w:rsid w:val="000E48DF"/>
    <w:rsid w:val="000E7B1F"/>
    <w:rsid w:val="000F4176"/>
    <w:rsid w:val="000F5FD1"/>
    <w:rsid w:val="00103AF7"/>
    <w:rsid w:val="0010558D"/>
    <w:rsid w:val="00107D7C"/>
    <w:rsid w:val="0011238E"/>
    <w:rsid w:val="00130D08"/>
    <w:rsid w:val="00131CCE"/>
    <w:rsid w:val="00131F6B"/>
    <w:rsid w:val="0013275E"/>
    <w:rsid w:val="00133EC9"/>
    <w:rsid w:val="00135E33"/>
    <w:rsid w:val="0014233B"/>
    <w:rsid w:val="00145704"/>
    <w:rsid w:val="00147B3D"/>
    <w:rsid w:val="00154553"/>
    <w:rsid w:val="001757AD"/>
    <w:rsid w:val="0017597B"/>
    <w:rsid w:val="00186177"/>
    <w:rsid w:val="001876D3"/>
    <w:rsid w:val="001913BF"/>
    <w:rsid w:val="00193399"/>
    <w:rsid w:val="001A0011"/>
    <w:rsid w:val="001A7BD2"/>
    <w:rsid w:val="001C0C83"/>
    <w:rsid w:val="001C1412"/>
    <w:rsid w:val="001C3463"/>
    <w:rsid w:val="001C698E"/>
    <w:rsid w:val="001E5E99"/>
    <w:rsid w:val="001E7672"/>
    <w:rsid w:val="001F52D3"/>
    <w:rsid w:val="001F58C5"/>
    <w:rsid w:val="001F76BA"/>
    <w:rsid w:val="00203455"/>
    <w:rsid w:val="002036B3"/>
    <w:rsid w:val="00203BEC"/>
    <w:rsid w:val="00203D0D"/>
    <w:rsid w:val="002112C6"/>
    <w:rsid w:val="002131AF"/>
    <w:rsid w:val="0021768D"/>
    <w:rsid w:val="00234405"/>
    <w:rsid w:val="00237A0F"/>
    <w:rsid w:val="00241889"/>
    <w:rsid w:val="00244676"/>
    <w:rsid w:val="002446C1"/>
    <w:rsid w:val="00253511"/>
    <w:rsid w:val="00260125"/>
    <w:rsid w:val="00264389"/>
    <w:rsid w:val="00264E88"/>
    <w:rsid w:val="00276707"/>
    <w:rsid w:val="002771E0"/>
    <w:rsid w:val="002834EF"/>
    <w:rsid w:val="00284837"/>
    <w:rsid w:val="00284E45"/>
    <w:rsid w:val="00290CC2"/>
    <w:rsid w:val="002A26D3"/>
    <w:rsid w:val="002B460B"/>
    <w:rsid w:val="002B642B"/>
    <w:rsid w:val="002C45E8"/>
    <w:rsid w:val="002D3869"/>
    <w:rsid w:val="002D3F87"/>
    <w:rsid w:val="002E4A52"/>
    <w:rsid w:val="002F511F"/>
    <w:rsid w:val="003007A2"/>
    <w:rsid w:val="00303432"/>
    <w:rsid w:val="0030494C"/>
    <w:rsid w:val="00313C94"/>
    <w:rsid w:val="00322755"/>
    <w:rsid w:val="00325923"/>
    <w:rsid w:val="00326176"/>
    <w:rsid w:val="00334507"/>
    <w:rsid w:val="00342D33"/>
    <w:rsid w:val="0034348B"/>
    <w:rsid w:val="00344D26"/>
    <w:rsid w:val="00354C87"/>
    <w:rsid w:val="00371705"/>
    <w:rsid w:val="003723C7"/>
    <w:rsid w:val="00372EEE"/>
    <w:rsid w:val="00382045"/>
    <w:rsid w:val="00385638"/>
    <w:rsid w:val="00386315"/>
    <w:rsid w:val="00387EDE"/>
    <w:rsid w:val="003927B6"/>
    <w:rsid w:val="00394EF9"/>
    <w:rsid w:val="003A1B07"/>
    <w:rsid w:val="003A6194"/>
    <w:rsid w:val="003B55BE"/>
    <w:rsid w:val="003C2D79"/>
    <w:rsid w:val="003C3516"/>
    <w:rsid w:val="003D5DCA"/>
    <w:rsid w:val="003E0F23"/>
    <w:rsid w:val="003E7B53"/>
    <w:rsid w:val="003F4FC8"/>
    <w:rsid w:val="003F60CD"/>
    <w:rsid w:val="003F6633"/>
    <w:rsid w:val="003F6B4F"/>
    <w:rsid w:val="003F7394"/>
    <w:rsid w:val="00407BC3"/>
    <w:rsid w:val="00407C96"/>
    <w:rsid w:val="0041043E"/>
    <w:rsid w:val="00412387"/>
    <w:rsid w:val="00420D61"/>
    <w:rsid w:val="00424DE7"/>
    <w:rsid w:val="004328CC"/>
    <w:rsid w:val="00432952"/>
    <w:rsid w:val="00433789"/>
    <w:rsid w:val="0043500F"/>
    <w:rsid w:val="004408BD"/>
    <w:rsid w:val="00440DD8"/>
    <w:rsid w:val="00443B42"/>
    <w:rsid w:val="00453D6B"/>
    <w:rsid w:val="0045537F"/>
    <w:rsid w:val="0047412C"/>
    <w:rsid w:val="00474E1C"/>
    <w:rsid w:val="0048075C"/>
    <w:rsid w:val="00481F24"/>
    <w:rsid w:val="00483A2B"/>
    <w:rsid w:val="00483E40"/>
    <w:rsid w:val="00487446"/>
    <w:rsid w:val="0049153B"/>
    <w:rsid w:val="00492414"/>
    <w:rsid w:val="004A169C"/>
    <w:rsid w:val="004A5885"/>
    <w:rsid w:val="004B59BB"/>
    <w:rsid w:val="004C0F5F"/>
    <w:rsid w:val="004C44A8"/>
    <w:rsid w:val="004D3DC0"/>
    <w:rsid w:val="004D66A9"/>
    <w:rsid w:val="004E0739"/>
    <w:rsid w:val="004F484F"/>
    <w:rsid w:val="004F56B0"/>
    <w:rsid w:val="004F5B9F"/>
    <w:rsid w:val="004F7F8E"/>
    <w:rsid w:val="005031A6"/>
    <w:rsid w:val="005049FE"/>
    <w:rsid w:val="00504EB5"/>
    <w:rsid w:val="005253E6"/>
    <w:rsid w:val="00526C4B"/>
    <w:rsid w:val="00534530"/>
    <w:rsid w:val="005367D2"/>
    <w:rsid w:val="00537206"/>
    <w:rsid w:val="00540AD8"/>
    <w:rsid w:val="00544F57"/>
    <w:rsid w:val="00547035"/>
    <w:rsid w:val="0055013F"/>
    <w:rsid w:val="00551137"/>
    <w:rsid w:val="00553453"/>
    <w:rsid w:val="00554355"/>
    <w:rsid w:val="0057058E"/>
    <w:rsid w:val="00571F99"/>
    <w:rsid w:val="00574DD2"/>
    <w:rsid w:val="0057575B"/>
    <w:rsid w:val="00576FED"/>
    <w:rsid w:val="005772DB"/>
    <w:rsid w:val="00582D71"/>
    <w:rsid w:val="00583C23"/>
    <w:rsid w:val="00585C36"/>
    <w:rsid w:val="00586120"/>
    <w:rsid w:val="00587714"/>
    <w:rsid w:val="00590DF9"/>
    <w:rsid w:val="00593907"/>
    <w:rsid w:val="00593DE8"/>
    <w:rsid w:val="005A1DD5"/>
    <w:rsid w:val="005A5927"/>
    <w:rsid w:val="005B11FF"/>
    <w:rsid w:val="005B20D4"/>
    <w:rsid w:val="005B3E86"/>
    <w:rsid w:val="005B5E38"/>
    <w:rsid w:val="005B5FD7"/>
    <w:rsid w:val="005C0324"/>
    <w:rsid w:val="005C30C3"/>
    <w:rsid w:val="005C4F04"/>
    <w:rsid w:val="005D0821"/>
    <w:rsid w:val="005D3982"/>
    <w:rsid w:val="005D448F"/>
    <w:rsid w:val="005D487C"/>
    <w:rsid w:val="005D4B77"/>
    <w:rsid w:val="005D5C20"/>
    <w:rsid w:val="005D7898"/>
    <w:rsid w:val="005E73A6"/>
    <w:rsid w:val="005F0197"/>
    <w:rsid w:val="005F48A2"/>
    <w:rsid w:val="005F62BA"/>
    <w:rsid w:val="005F6BFB"/>
    <w:rsid w:val="00601A24"/>
    <w:rsid w:val="00604923"/>
    <w:rsid w:val="0061452A"/>
    <w:rsid w:val="00614674"/>
    <w:rsid w:val="00617772"/>
    <w:rsid w:val="00620170"/>
    <w:rsid w:val="00621C26"/>
    <w:rsid w:val="00630B94"/>
    <w:rsid w:val="00641242"/>
    <w:rsid w:val="006434E7"/>
    <w:rsid w:val="00644E21"/>
    <w:rsid w:val="006539EA"/>
    <w:rsid w:val="00660D11"/>
    <w:rsid w:val="00661086"/>
    <w:rsid w:val="006630FD"/>
    <w:rsid w:val="00664BCD"/>
    <w:rsid w:val="00674C55"/>
    <w:rsid w:val="00676C21"/>
    <w:rsid w:val="00691DBC"/>
    <w:rsid w:val="00692C18"/>
    <w:rsid w:val="00694D90"/>
    <w:rsid w:val="00694E70"/>
    <w:rsid w:val="006A41C3"/>
    <w:rsid w:val="006A76DC"/>
    <w:rsid w:val="006C43F5"/>
    <w:rsid w:val="006C6457"/>
    <w:rsid w:val="006D0990"/>
    <w:rsid w:val="006D4806"/>
    <w:rsid w:val="006E5D22"/>
    <w:rsid w:val="006E5E68"/>
    <w:rsid w:val="006F0D5B"/>
    <w:rsid w:val="006F41BB"/>
    <w:rsid w:val="006F7C5D"/>
    <w:rsid w:val="0070520E"/>
    <w:rsid w:val="00707D79"/>
    <w:rsid w:val="0071013A"/>
    <w:rsid w:val="00715156"/>
    <w:rsid w:val="007233BA"/>
    <w:rsid w:val="007253D9"/>
    <w:rsid w:val="00726282"/>
    <w:rsid w:val="0072722D"/>
    <w:rsid w:val="00732275"/>
    <w:rsid w:val="00732DD1"/>
    <w:rsid w:val="00740AB3"/>
    <w:rsid w:val="00744558"/>
    <w:rsid w:val="0074549E"/>
    <w:rsid w:val="007506C5"/>
    <w:rsid w:val="007525B0"/>
    <w:rsid w:val="00756831"/>
    <w:rsid w:val="00762093"/>
    <w:rsid w:val="00770176"/>
    <w:rsid w:val="007706CF"/>
    <w:rsid w:val="007749BB"/>
    <w:rsid w:val="007933A0"/>
    <w:rsid w:val="00794660"/>
    <w:rsid w:val="007A2E04"/>
    <w:rsid w:val="007B1927"/>
    <w:rsid w:val="007B1CB1"/>
    <w:rsid w:val="007B3194"/>
    <w:rsid w:val="007B5734"/>
    <w:rsid w:val="007C007E"/>
    <w:rsid w:val="007C4CBB"/>
    <w:rsid w:val="007D3C35"/>
    <w:rsid w:val="007D61B3"/>
    <w:rsid w:val="007E09B3"/>
    <w:rsid w:val="007E4CA9"/>
    <w:rsid w:val="007E6476"/>
    <w:rsid w:val="007F54AA"/>
    <w:rsid w:val="00801015"/>
    <w:rsid w:val="00801B88"/>
    <w:rsid w:val="00807E31"/>
    <w:rsid w:val="00810BE2"/>
    <w:rsid w:val="0081117E"/>
    <w:rsid w:val="00814172"/>
    <w:rsid w:val="008204AB"/>
    <w:rsid w:val="0082600D"/>
    <w:rsid w:val="00835751"/>
    <w:rsid w:val="00836CCA"/>
    <w:rsid w:val="00841651"/>
    <w:rsid w:val="00845189"/>
    <w:rsid w:val="00845C97"/>
    <w:rsid w:val="00847F35"/>
    <w:rsid w:val="00855753"/>
    <w:rsid w:val="00856141"/>
    <w:rsid w:val="00871F53"/>
    <w:rsid w:val="00872813"/>
    <w:rsid w:val="00880A4D"/>
    <w:rsid w:val="0088461D"/>
    <w:rsid w:val="00891428"/>
    <w:rsid w:val="00892B3B"/>
    <w:rsid w:val="00897477"/>
    <w:rsid w:val="008A53B3"/>
    <w:rsid w:val="008A59E4"/>
    <w:rsid w:val="008C4340"/>
    <w:rsid w:val="008C49B2"/>
    <w:rsid w:val="008C56A4"/>
    <w:rsid w:val="008C6D9C"/>
    <w:rsid w:val="008D058E"/>
    <w:rsid w:val="008D3224"/>
    <w:rsid w:val="008D4EF6"/>
    <w:rsid w:val="008E1BE1"/>
    <w:rsid w:val="008E5215"/>
    <w:rsid w:val="008F0F70"/>
    <w:rsid w:val="008F4F5C"/>
    <w:rsid w:val="0090309F"/>
    <w:rsid w:val="009070D8"/>
    <w:rsid w:val="009129E6"/>
    <w:rsid w:val="00916695"/>
    <w:rsid w:val="00916E6E"/>
    <w:rsid w:val="00922B96"/>
    <w:rsid w:val="009249E3"/>
    <w:rsid w:val="009253FF"/>
    <w:rsid w:val="0092590E"/>
    <w:rsid w:val="00933625"/>
    <w:rsid w:val="00935190"/>
    <w:rsid w:val="00936EA5"/>
    <w:rsid w:val="00937FCB"/>
    <w:rsid w:val="00940B44"/>
    <w:rsid w:val="0094143F"/>
    <w:rsid w:val="00945BE8"/>
    <w:rsid w:val="00946954"/>
    <w:rsid w:val="00950AD1"/>
    <w:rsid w:val="0095145E"/>
    <w:rsid w:val="00952009"/>
    <w:rsid w:val="00952E68"/>
    <w:rsid w:val="00955960"/>
    <w:rsid w:val="00960DA6"/>
    <w:rsid w:val="00961CFD"/>
    <w:rsid w:val="00966A88"/>
    <w:rsid w:val="00967C6F"/>
    <w:rsid w:val="00971CF5"/>
    <w:rsid w:val="00972DB8"/>
    <w:rsid w:val="009751C7"/>
    <w:rsid w:val="00975E2F"/>
    <w:rsid w:val="009836DD"/>
    <w:rsid w:val="009859D0"/>
    <w:rsid w:val="00991CFA"/>
    <w:rsid w:val="009922B6"/>
    <w:rsid w:val="00994E3F"/>
    <w:rsid w:val="00994FA9"/>
    <w:rsid w:val="009967E7"/>
    <w:rsid w:val="009A12CE"/>
    <w:rsid w:val="009A1ABD"/>
    <w:rsid w:val="009A44E5"/>
    <w:rsid w:val="009B0386"/>
    <w:rsid w:val="009B26B7"/>
    <w:rsid w:val="009B40CC"/>
    <w:rsid w:val="009B6EE7"/>
    <w:rsid w:val="009C4D7D"/>
    <w:rsid w:val="009C5BC9"/>
    <w:rsid w:val="009C7BC8"/>
    <w:rsid w:val="009D6512"/>
    <w:rsid w:val="009D7EA9"/>
    <w:rsid w:val="009E0650"/>
    <w:rsid w:val="009E54B0"/>
    <w:rsid w:val="009F1450"/>
    <w:rsid w:val="009F30F1"/>
    <w:rsid w:val="009F35BC"/>
    <w:rsid w:val="009F750D"/>
    <w:rsid w:val="00A0496F"/>
    <w:rsid w:val="00A07175"/>
    <w:rsid w:val="00A10F97"/>
    <w:rsid w:val="00A15B47"/>
    <w:rsid w:val="00A16587"/>
    <w:rsid w:val="00A17F30"/>
    <w:rsid w:val="00A33D7D"/>
    <w:rsid w:val="00A36DB6"/>
    <w:rsid w:val="00A374B2"/>
    <w:rsid w:val="00A47FA1"/>
    <w:rsid w:val="00A52321"/>
    <w:rsid w:val="00A526FB"/>
    <w:rsid w:val="00A55C5C"/>
    <w:rsid w:val="00A56DF2"/>
    <w:rsid w:val="00A576C5"/>
    <w:rsid w:val="00A6692F"/>
    <w:rsid w:val="00A70141"/>
    <w:rsid w:val="00A71C98"/>
    <w:rsid w:val="00A8300A"/>
    <w:rsid w:val="00A8481B"/>
    <w:rsid w:val="00A849BB"/>
    <w:rsid w:val="00A863F0"/>
    <w:rsid w:val="00A877DF"/>
    <w:rsid w:val="00A932CB"/>
    <w:rsid w:val="00A9406B"/>
    <w:rsid w:val="00A95A87"/>
    <w:rsid w:val="00AA0866"/>
    <w:rsid w:val="00AA0FD5"/>
    <w:rsid w:val="00AA306D"/>
    <w:rsid w:val="00AA3C2C"/>
    <w:rsid w:val="00AA3E9A"/>
    <w:rsid w:val="00AA6F40"/>
    <w:rsid w:val="00AA7D1E"/>
    <w:rsid w:val="00AB631F"/>
    <w:rsid w:val="00AC6FA8"/>
    <w:rsid w:val="00AE0CB2"/>
    <w:rsid w:val="00AE57D9"/>
    <w:rsid w:val="00AE6F91"/>
    <w:rsid w:val="00AF4E7D"/>
    <w:rsid w:val="00B133D7"/>
    <w:rsid w:val="00B216A6"/>
    <w:rsid w:val="00B22C8B"/>
    <w:rsid w:val="00B24912"/>
    <w:rsid w:val="00B269D5"/>
    <w:rsid w:val="00B320AE"/>
    <w:rsid w:val="00B47E96"/>
    <w:rsid w:val="00B560EF"/>
    <w:rsid w:val="00B609A4"/>
    <w:rsid w:val="00B64B66"/>
    <w:rsid w:val="00B65AFD"/>
    <w:rsid w:val="00B65DF1"/>
    <w:rsid w:val="00B753E5"/>
    <w:rsid w:val="00B759A4"/>
    <w:rsid w:val="00B80A52"/>
    <w:rsid w:val="00B8266E"/>
    <w:rsid w:val="00B87DF7"/>
    <w:rsid w:val="00B9692C"/>
    <w:rsid w:val="00B97450"/>
    <w:rsid w:val="00B97955"/>
    <w:rsid w:val="00BA12BA"/>
    <w:rsid w:val="00BA213F"/>
    <w:rsid w:val="00BA38F8"/>
    <w:rsid w:val="00BA70FD"/>
    <w:rsid w:val="00BA7C53"/>
    <w:rsid w:val="00BB0633"/>
    <w:rsid w:val="00BB4F99"/>
    <w:rsid w:val="00BB6752"/>
    <w:rsid w:val="00BB7F79"/>
    <w:rsid w:val="00BC00D6"/>
    <w:rsid w:val="00BC0594"/>
    <w:rsid w:val="00BD0077"/>
    <w:rsid w:val="00BD0463"/>
    <w:rsid w:val="00BD10E3"/>
    <w:rsid w:val="00BD4BD7"/>
    <w:rsid w:val="00BD66E9"/>
    <w:rsid w:val="00BD680C"/>
    <w:rsid w:val="00BD7813"/>
    <w:rsid w:val="00BE19ED"/>
    <w:rsid w:val="00BE5B46"/>
    <w:rsid w:val="00BF0156"/>
    <w:rsid w:val="00BF2908"/>
    <w:rsid w:val="00C00293"/>
    <w:rsid w:val="00C011C9"/>
    <w:rsid w:val="00C051D3"/>
    <w:rsid w:val="00C1349E"/>
    <w:rsid w:val="00C1632A"/>
    <w:rsid w:val="00C1689E"/>
    <w:rsid w:val="00C2287A"/>
    <w:rsid w:val="00C30060"/>
    <w:rsid w:val="00C30E73"/>
    <w:rsid w:val="00C34284"/>
    <w:rsid w:val="00C350D3"/>
    <w:rsid w:val="00C4230B"/>
    <w:rsid w:val="00C438D9"/>
    <w:rsid w:val="00C440EE"/>
    <w:rsid w:val="00C514D4"/>
    <w:rsid w:val="00C558E3"/>
    <w:rsid w:val="00C5797B"/>
    <w:rsid w:val="00C6123A"/>
    <w:rsid w:val="00C62789"/>
    <w:rsid w:val="00C67903"/>
    <w:rsid w:val="00C840A3"/>
    <w:rsid w:val="00C91060"/>
    <w:rsid w:val="00C92E41"/>
    <w:rsid w:val="00C973B5"/>
    <w:rsid w:val="00CA0BA0"/>
    <w:rsid w:val="00CA1D27"/>
    <w:rsid w:val="00CA42C2"/>
    <w:rsid w:val="00CA5E8E"/>
    <w:rsid w:val="00CA5FD6"/>
    <w:rsid w:val="00CA62E7"/>
    <w:rsid w:val="00CB374A"/>
    <w:rsid w:val="00CB3C85"/>
    <w:rsid w:val="00CB5401"/>
    <w:rsid w:val="00CB60B0"/>
    <w:rsid w:val="00CC1CC8"/>
    <w:rsid w:val="00CC4B61"/>
    <w:rsid w:val="00CC5950"/>
    <w:rsid w:val="00CC7DB8"/>
    <w:rsid w:val="00CE19C0"/>
    <w:rsid w:val="00CE22B5"/>
    <w:rsid w:val="00CF234D"/>
    <w:rsid w:val="00CF28E7"/>
    <w:rsid w:val="00CF768C"/>
    <w:rsid w:val="00D0189E"/>
    <w:rsid w:val="00D01C3D"/>
    <w:rsid w:val="00D06273"/>
    <w:rsid w:val="00D1063B"/>
    <w:rsid w:val="00D1132B"/>
    <w:rsid w:val="00D123D9"/>
    <w:rsid w:val="00D13136"/>
    <w:rsid w:val="00D137B3"/>
    <w:rsid w:val="00D203C4"/>
    <w:rsid w:val="00D22738"/>
    <w:rsid w:val="00D25E0E"/>
    <w:rsid w:val="00D266F8"/>
    <w:rsid w:val="00D30D04"/>
    <w:rsid w:val="00D34094"/>
    <w:rsid w:val="00D346D3"/>
    <w:rsid w:val="00D35A0C"/>
    <w:rsid w:val="00D37690"/>
    <w:rsid w:val="00D42095"/>
    <w:rsid w:val="00D50DC3"/>
    <w:rsid w:val="00D5228C"/>
    <w:rsid w:val="00D57D7C"/>
    <w:rsid w:val="00D60339"/>
    <w:rsid w:val="00D75612"/>
    <w:rsid w:val="00D76385"/>
    <w:rsid w:val="00D8624A"/>
    <w:rsid w:val="00DA1F04"/>
    <w:rsid w:val="00DA24D4"/>
    <w:rsid w:val="00DA6030"/>
    <w:rsid w:val="00DB256E"/>
    <w:rsid w:val="00DB5916"/>
    <w:rsid w:val="00DC3143"/>
    <w:rsid w:val="00DC3642"/>
    <w:rsid w:val="00DE11B1"/>
    <w:rsid w:val="00DE3D08"/>
    <w:rsid w:val="00DE567B"/>
    <w:rsid w:val="00DF04DC"/>
    <w:rsid w:val="00E0049A"/>
    <w:rsid w:val="00E009F1"/>
    <w:rsid w:val="00E03403"/>
    <w:rsid w:val="00E039AB"/>
    <w:rsid w:val="00E067AD"/>
    <w:rsid w:val="00E12BC2"/>
    <w:rsid w:val="00E12EFE"/>
    <w:rsid w:val="00E14180"/>
    <w:rsid w:val="00E17BC7"/>
    <w:rsid w:val="00E3250A"/>
    <w:rsid w:val="00E40B49"/>
    <w:rsid w:val="00E41702"/>
    <w:rsid w:val="00E45431"/>
    <w:rsid w:val="00E509E0"/>
    <w:rsid w:val="00E56AEA"/>
    <w:rsid w:val="00E57720"/>
    <w:rsid w:val="00E6038D"/>
    <w:rsid w:val="00E70A38"/>
    <w:rsid w:val="00E7143F"/>
    <w:rsid w:val="00E7239A"/>
    <w:rsid w:val="00E73F6D"/>
    <w:rsid w:val="00E74F2B"/>
    <w:rsid w:val="00E822D8"/>
    <w:rsid w:val="00E8693C"/>
    <w:rsid w:val="00E869B4"/>
    <w:rsid w:val="00E92214"/>
    <w:rsid w:val="00E93C2B"/>
    <w:rsid w:val="00E9514D"/>
    <w:rsid w:val="00E971F7"/>
    <w:rsid w:val="00EA4FCF"/>
    <w:rsid w:val="00EA5B1C"/>
    <w:rsid w:val="00EB53D7"/>
    <w:rsid w:val="00EB69C4"/>
    <w:rsid w:val="00EC07F6"/>
    <w:rsid w:val="00EC36F8"/>
    <w:rsid w:val="00EC4F22"/>
    <w:rsid w:val="00ED1357"/>
    <w:rsid w:val="00ED1A05"/>
    <w:rsid w:val="00ED2DB6"/>
    <w:rsid w:val="00EE2525"/>
    <w:rsid w:val="00EE5B34"/>
    <w:rsid w:val="00EF60C3"/>
    <w:rsid w:val="00EF7053"/>
    <w:rsid w:val="00F031D1"/>
    <w:rsid w:val="00F05E8B"/>
    <w:rsid w:val="00F06BF7"/>
    <w:rsid w:val="00F06DA3"/>
    <w:rsid w:val="00F130CF"/>
    <w:rsid w:val="00F22516"/>
    <w:rsid w:val="00F24F9D"/>
    <w:rsid w:val="00F25AD1"/>
    <w:rsid w:val="00F32B45"/>
    <w:rsid w:val="00F3390C"/>
    <w:rsid w:val="00F402F9"/>
    <w:rsid w:val="00F513E3"/>
    <w:rsid w:val="00F60E97"/>
    <w:rsid w:val="00F63D2B"/>
    <w:rsid w:val="00F66331"/>
    <w:rsid w:val="00F701C9"/>
    <w:rsid w:val="00F77138"/>
    <w:rsid w:val="00F771F9"/>
    <w:rsid w:val="00F842CF"/>
    <w:rsid w:val="00F91BCD"/>
    <w:rsid w:val="00F92377"/>
    <w:rsid w:val="00FA4881"/>
    <w:rsid w:val="00FA5508"/>
    <w:rsid w:val="00FB108A"/>
    <w:rsid w:val="00FB1396"/>
    <w:rsid w:val="00FB1B18"/>
    <w:rsid w:val="00FB6205"/>
    <w:rsid w:val="00FC3A0C"/>
    <w:rsid w:val="00FC6B93"/>
    <w:rsid w:val="00FD099C"/>
    <w:rsid w:val="00FD3AE1"/>
    <w:rsid w:val="00FD3FAD"/>
    <w:rsid w:val="00FD47E2"/>
    <w:rsid w:val="00FD784D"/>
    <w:rsid w:val="00FE197A"/>
    <w:rsid w:val="00FE240A"/>
    <w:rsid w:val="00FE2FD1"/>
    <w:rsid w:val="00FF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BD01FE-65C8-4A42-91BA-BAD2A092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837"/>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865779">
      <w:bodyDiv w:val="1"/>
      <w:marLeft w:val="0"/>
      <w:marRight w:val="0"/>
      <w:marTop w:val="0"/>
      <w:marBottom w:val="0"/>
      <w:divBdr>
        <w:top w:val="none" w:sz="0" w:space="0" w:color="auto"/>
        <w:left w:val="none" w:sz="0" w:space="0" w:color="auto"/>
        <w:bottom w:val="none" w:sz="0" w:space="0" w:color="auto"/>
        <w:right w:val="none" w:sz="0" w:space="0" w:color="auto"/>
      </w:divBdr>
      <w:divsChild>
        <w:div w:id="1433668392">
          <w:marLeft w:val="806"/>
          <w:marRight w:val="0"/>
          <w:marTop w:val="67"/>
          <w:marBottom w:val="0"/>
          <w:divBdr>
            <w:top w:val="none" w:sz="0" w:space="0" w:color="auto"/>
            <w:left w:val="none" w:sz="0" w:space="0" w:color="auto"/>
            <w:bottom w:val="none" w:sz="0" w:space="0" w:color="auto"/>
            <w:right w:val="none" w:sz="0" w:space="0" w:color="auto"/>
          </w:divBdr>
        </w:div>
        <w:div w:id="1996570774">
          <w:marLeft w:val="806"/>
          <w:marRight w:val="0"/>
          <w:marTop w:val="67"/>
          <w:marBottom w:val="0"/>
          <w:divBdr>
            <w:top w:val="none" w:sz="0" w:space="0" w:color="auto"/>
            <w:left w:val="none" w:sz="0" w:space="0" w:color="auto"/>
            <w:bottom w:val="none" w:sz="0" w:space="0" w:color="auto"/>
            <w:right w:val="none" w:sz="0" w:space="0" w:color="auto"/>
          </w:divBdr>
        </w:div>
      </w:divsChild>
    </w:div>
    <w:div w:id="555118251">
      <w:bodyDiv w:val="1"/>
      <w:marLeft w:val="0"/>
      <w:marRight w:val="0"/>
      <w:marTop w:val="0"/>
      <w:marBottom w:val="0"/>
      <w:divBdr>
        <w:top w:val="none" w:sz="0" w:space="0" w:color="auto"/>
        <w:left w:val="none" w:sz="0" w:space="0" w:color="auto"/>
        <w:bottom w:val="none" w:sz="0" w:space="0" w:color="auto"/>
        <w:right w:val="none" w:sz="0" w:space="0" w:color="auto"/>
      </w:divBdr>
    </w:div>
    <w:div w:id="857231021">
      <w:bodyDiv w:val="1"/>
      <w:marLeft w:val="0"/>
      <w:marRight w:val="0"/>
      <w:marTop w:val="0"/>
      <w:marBottom w:val="0"/>
      <w:divBdr>
        <w:top w:val="none" w:sz="0" w:space="0" w:color="auto"/>
        <w:left w:val="none" w:sz="0" w:space="0" w:color="auto"/>
        <w:bottom w:val="none" w:sz="0" w:space="0" w:color="auto"/>
        <w:right w:val="none" w:sz="0" w:space="0" w:color="auto"/>
      </w:divBdr>
      <w:divsChild>
        <w:div w:id="9261428">
          <w:marLeft w:val="806"/>
          <w:marRight w:val="0"/>
          <w:marTop w:val="67"/>
          <w:marBottom w:val="0"/>
          <w:divBdr>
            <w:top w:val="none" w:sz="0" w:space="0" w:color="auto"/>
            <w:left w:val="none" w:sz="0" w:space="0" w:color="auto"/>
            <w:bottom w:val="none" w:sz="0" w:space="0" w:color="auto"/>
            <w:right w:val="none" w:sz="0" w:space="0" w:color="auto"/>
          </w:divBdr>
        </w:div>
        <w:div w:id="284309689">
          <w:marLeft w:val="806"/>
          <w:marRight w:val="0"/>
          <w:marTop w:val="67"/>
          <w:marBottom w:val="0"/>
          <w:divBdr>
            <w:top w:val="none" w:sz="0" w:space="0" w:color="auto"/>
            <w:left w:val="none" w:sz="0" w:space="0" w:color="auto"/>
            <w:bottom w:val="none" w:sz="0" w:space="0" w:color="auto"/>
            <w:right w:val="none" w:sz="0" w:space="0" w:color="auto"/>
          </w:divBdr>
        </w:div>
        <w:div w:id="293369604">
          <w:marLeft w:val="806"/>
          <w:marRight w:val="0"/>
          <w:marTop w:val="67"/>
          <w:marBottom w:val="0"/>
          <w:divBdr>
            <w:top w:val="none" w:sz="0" w:space="0" w:color="auto"/>
            <w:left w:val="none" w:sz="0" w:space="0" w:color="auto"/>
            <w:bottom w:val="none" w:sz="0" w:space="0" w:color="auto"/>
            <w:right w:val="none" w:sz="0" w:space="0" w:color="auto"/>
          </w:divBdr>
        </w:div>
        <w:div w:id="1765611117">
          <w:marLeft w:val="806"/>
          <w:marRight w:val="0"/>
          <w:marTop w:val="67"/>
          <w:marBottom w:val="0"/>
          <w:divBdr>
            <w:top w:val="none" w:sz="0" w:space="0" w:color="auto"/>
            <w:left w:val="none" w:sz="0" w:space="0" w:color="auto"/>
            <w:bottom w:val="none" w:sz="0" w:space="0" w:color="auto"/>
            <w:right w:val="none" w:sz="0" w:space="0" w:color="auto"/>
          </w:divBdr>
        </w:div>
        <w:div w:id="1963340640">
          <w:marLeft w:val="806"/>
          <w:marRight w:val="0"/>
          <w:marTop w:val="67"/>
          <w:marBottom w:val="0"/>
          <w:divBdr>
            <w:top w:val="none" w:sz="0" w:space="0" w:color="auto"/>
            <w:left w:val="none" w:sz="0" w:space="0" w:color="auto"/>
            <w:bottom w:val="none" w:sz="0" w:space="0" w:color="auto"/>
            <w:right w:val="none" w:sz="0" w:space="0" w:color="auto"/>
          </w:divBdr>
        </w:div>
      </w:divsChild>
    </w:div>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7F796-5FE5-4202-8B43-2D60631F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4556</CharactersWithSpaces>
  <SharedDoc>false</SharedDoc>
  <HLinks>
    <vt:vector size="6" baseType="variant">
      <vt:variant>
        <vt:i4>1638458</vt:i4>
      </vt:variant>
      <vt:variant>
        <vt:i4>0</vt:i4>
      </vt:variant>
      <vt:variant>
        <vt:i4>0</vt:i4>
      </vt:variant>
      <vt:variant>
        <vt:i4>5</vt:i4>
      </vt:variant>
      <vt:variant>
        <vt:lpwstr>mailto:ayesha.mohyuddin@umt.edu.pk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ayesha mohyuddin</cp:lastModifiedBy>
  <cp:revision>4</cp:revision>
  <cp:lastPrinted>2019-10-11T16:00:00Z</cp:lastPrinted>
  <dcterms:created xsi:type="dcterms:W3CDTF">2021-04-07T05:40:00Z</dcterms:created>
  <dcterms:modified xsi:type="dcterms:W3CDTF">2021-04-07T05:47:00Z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