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9B" w:rsidRPr="004F5315" w:rsidRDefault="006C329B" w:rsidP="006C329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3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71CF9A" wp14:editId="0B363159">
            <wp:simplePos x="0" y="0"/>
            <wp:positionH relativeFrom="column">
              <wp:posOffset>-173355</wp:posOffset>
            </wp:positionH>
            <wp:positionV relativeFrom="paragraph">
              <wp:posOffset>-237490</wp:posOffset>
            </wp:positionV>
            <wp:extent cx="903605" cy="914400"/>
            <wp:effectExtent l="0" t="0" r="0" b="0"/>
            <wp:wrapTight wrapText="bothSides">
              <wp:wrapPolygon edited="0">
                <wp:start x="0" y="0"/>
                <wp:lineTo x="0" y="21150"/>
                <wp:lineTo x="20947" y="21150"/>
                <wp:lineTo x="20947" y="0"/>
                <wp:lineTo x="0" y="0"/>
              </wp:wrapPolygon>
            </wp:wrapTight>
            <wp:docPr id="1" name="Picture 1" descr="UM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T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315">
        <w:rPr>
          <w:rFonts w:ascii="Times New Roman" w:hAnsi="Times New Roman"/>
          <w:sz w:val="24"/>
          <w:szCs w:val="24"/>
        </w:rPr>
        <w:t>UNIVERSITY OF MANAGEMENT &amp; TECHNOLOGY</w:t>
      </w:r>
    </w:p>
    <w:p w:rsidR="006C329B" w:rsidRPr="004F5315" w:rsidRDefault="006C329B" w:rsidP="006C329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315">
        <w:rPr>
          <w:rFonts w:ascii="Times New Roman" w:hAnsi="Times New Roman"/>
          <w:sz w:val="24"/>
          <w:szCs w:val="24"/>
        </w:rPr>
        <w:t>SCHOOL OF SOCIAL SCIENCES &amp; HUMANITIES</w:t>
      </w:r>
    </w:p>
    <w:p w:rsidR="006C329B" w:rsidRPr="004F5315" w:rsidRDefault="006C329B" w:rsidP="006C329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F5315">
        <w:rPr>
          <w:rFonts w:ascii="Times New Roman" w:hAnsi="Times New Roman"/>
          <w:sz w:val="24"/>
          <w:szCs w:val="24"/>
        </w:rPr>
        <w:t>Department of Education</w:t>
      </w:r>
    </w:p>
    <w:p w:rsidR="006C329B" w:rsidRPr="004F5315" w:rsidRDefault="006C329B" w:rsidP="006C329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8114A" w:rsidRPr="00184426" w:rsidRDefault="00497D2C" w:rsidP="00497D2C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84426">
        <w:rPr>
          <w:rFonts w:asciiTheme="majorBidi" w:hAnsiTheme="majorBidi" w:cstheme="majorBidi"/>
          <w:b/>
          <w:sz w:val="24"/>
          <w:szCs w:val="24"/>
          <w:u w:val="single"/>
        </w:rPr>
        <w:t>Course Outline</w:t>
      </w:r>
    </w:p>
    <w:p w:rsidR="00782096" w:rsidRPr="00184426" w:rsidRDefault="00C43620" w:rsidP="00122CEE">
      <w:pPr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Course code…</w:t>
      </w:r>
      <w:r w:rsidR="00122CEE" w:rsidRPr="00184426">
        <w:rPr>
          <w:rFonts w:asciiTheme="majorBidi" w:hAnsiTheme="majorBidi" w:cstheme="majorBidi"/>
          <w:b/>
          <w:bCs/>
          <w:sz w:val="24"/>
          <w:szCs w:val="24"/>
        </w:rPr>
        <w:t xml:space="preserve"> (ED759)</w:t>
      </w:r>
      <w:r w:rsidR="00122CEE" w:rsidRPr="00184426">
        <w:rPr>
          <w:rFonts w:asciiTheme="majorBidi" w:hAnsiTheme="majorBidi" w:cstheme="majorBidi"/>
          <w:sz w:val="24"/>
          <w:szCs w:val="24"/>
        </w:rPr>
        <w:tab/>
      </w:r>
      <w:r w:rsidR="00122CEE" w:rsidRPr="00184426">
        <w:rPr>
          <w:rFonts w:asciiTheme="majorBidi" w:hAnsiTheme="majorBidi" w:cstheme="majorBidi"/>
          <w:sz w:val="24"/>
          <w:szCs w:val="24"/>
        </w:rPr>
        <w:tab/>
      </w:r>
      <w:r w:rsidR="00122CEE"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>Course title…</w:t>
      </w:r>
      <w:r w:rsidR="00122CEE" w:rsidRPr="00184426">
        <w:rPr>
          <w:rFonts w:asciiTheme="majorBidi" w:hAnsiTheme="majorBidi" w:cstheme="majorBidi"/>
          <w:b/>
          <w:bCs/>
          <w:sz w:val="24"/>
          <w:szCs w:val="24"/>
        </w:rPr>
        <w:t xml:space="preserve"> Perspectives of Teacher Education</w:t>
      </w:r>
    </w:p>
    <w:p w:rsidR="00C43620" w:rsidRPr="00184426" w:rsidRDefault="00C43620" w:rsidP="00C4362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C43620" w:rsidRPr="00184426" w:rsidTr="006C329B">
        <w:trPr>
          <w:trHeight w:val="528"/>
        </w:trPr>
        <w:tc>
          <w:tcPr>
            <w:tcW w:w="2272" w:type="dxa"/>
          </w:tcPr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</w:p>
        </w:tc>
        <w:tc>
          <w:tcPr>
            <w:tcW w:w="7319" w:type="dxa"/>
          </w:tcPr>
          <w:p w:rsidR="00C43620" w:rsidRPr="00184426" w:rsidRDefault="006D55C5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PhD Education</w:t>
            </w:r>
          </w:p>
        </w:tc>
      </w:tr>
      <w:tr w:rsidR="00C43620" w:rsidRPr="00184426" w:rsidTr="006C329B">
        <w:trPr>
          <w:trHeight w:val="600"/>
        </w:trPr>
        <w:tc>
          <w:tcPr>
            <w:tcW w:w="2272" w:type="dxa"/>
          </w:tcPr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7319" w:type="dxa"/>
          </w:tcPr>
          <w:p w:rsidR="00C43620" w:rsidRPr="00184426" w:rsidRDefault="006D55C5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43620" w:rsidRPr="00184426" w:rsidTr="006C329B">
        <w:trPr>
          <w:trHeight w:val="690"/>
        </w:trPr>
        <w:tc>
          <w:tcPr>
            <w:tcW w:w="2272" w:type="dxa"/>
          </w:tcPr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Duration</w:t>
            </w:r>
          </w:p>
        </w:tc>
        <w:tc>
          <w:tcPr>
            <w:tcW w:w="7319" w:type="dxa"/>
          </w:tcPr>
          <w:p w:rsidR="00C43620" w:rsidRPr="00184426" w:rsidRDefault="006D55C5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16 weeks</w:t>
            </w:r>
          </w:p>
        </w:tc>
      </w:tr>
      <w:tr w:rsidR="00C43620" w:rsidRPr="00184426" w:rsidTr="006C329B">
        <w:trPr>
          <w:trHeight w:val="663"/>
        </w:trPr>
        <w:tc>
          <w:tcPr>
            <w:tcW w:w="2272" w:type="dxa"/>
          </w:tcPr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Prerequisites</w:t>
            </w:r>
          </w:p>
        </w:tc>
        <w:tc>
          <w:tcPr>
            <w:tcW w:w="7319" w:type="dxa"/>
          </w:tcPr>
          <w:p w:rsidR="00C43620" w:rsidRPr="00184426" w:rsidRDefault="006D55C5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Nil</w:t>
            </w:r>
          </w:p>
        </w:tc>
      </w:tr>
      <w:tr w:rsidR="00C43620" w:rsidRPr="00184426" w:rsidTr="006C329B">
        <w:trPr>
          <w:trHeight w:val="600"/>
        </w:trPr>
        <w:tc>
          <w:tcPr>
            <w:tcW w:w="2272" w:type="dxa"/>
          </w:tcPr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Resource Person</w:t>
            </w:r>
          </w:p>
        </w:tc>
        <w:tc>
          <w:tcPr>
            <w:tcW w:w="7319" w:type="dxa"/>
          </w:tcPr>
          <w:p w:rsidR="00C43620" w:rsidRPr="00184426" w:rsidRDefault="006D55C5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 w:rsidR="007D7FF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844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84426">
              <w:rPr>
                <w:rFonts w:asciiTheme="majorBidi" w:hAnsiTheme="majorBidi" w:cstheme="majorBidi"/>
                <w:sz w:val="24"/>
                <w:szCs w:val="24"/>
              </w:rPr>
              <w:t>Irfan</w:t>
            </w:r>
            <w:proofErr w:type="spellEnd"/>
            <w:r w:rsidRPr="00184426">
              <w:rPr>
                <w:rFonts w:asciiTheme="majorBidi" w:hAnsiTheme="majorBidi" w:cstheme="majorBidi"/>
                <w:sz w:val="24"/>
                <w:szCs w:val="24"/>
              </w:rPr>
              <w:t xml:space="preserve"> B</w:t>
            </w:r>
            <w:r w:rsidR="00C85AB3" w:rsidRPr="00184426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84426">
              <w:rPr>
                <w:rFonts w:asciiTheme="majorBidi" w:hAnsiTheme="majorBidi" w:cstheme="majorBidi"/>
                <w:sz w:val="24"/>
                <w:szCs w:val="24"/>
              </w:rPr>
              <w:t>shir</w:t>
            </w:r>
          </w:p>
        </w:tc>
      </w:tr>
      <w:tr w:rsidR="00C43620" w:rsidRPr="00184426" w:rsidTr="00330137">
        <w:trPr>
          <w:trHeight w:val="1140"/>
        </w:trPr>
        <w:tc>
          <w:tcPr>
            <w:tcW w:w="2272" w:type="dxa"/>
          </w:tcPr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Counseling Timing</w:t>
            </w:r>
          </w:p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3620" w:rsidRPr="00184426" w:rsidRDefault="00C436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6D55C5" w:rsidRPr="00184426">
              <w:rPr>
                <w:rFonts w:asciiTheme="majorBidi" w:hAnsiTheme="majorBidi" w:cstheme="majorBidi"/>
                <w:sz w:val="24"/>
                <w:szCs w:val="24"/>
              </w:rPr>
              <w:t>Faculty Office or Online meeting</w:t>
            </w:r>
            <w:r w:rsidRPr="0018442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319" w:type="dxa"/>
          </w:tcPr>
          <w:p w:rsidR="00C43620" w:rsidRPr="00184426" w:rsidRDefault="006D55C5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Monday to Friday 4:00 pm – 6:00 pm</w:t>
            </w:r>
          </w:p>
        </w:tc>
      </w:tr>
      <w:tr w:rsidR="00C43620" w:rsidRPr="00184426" w:rsidTr="006C329B">
        <w:trPr>
          <w:trHeight w:val="807"/>
        </w:trPr>
        <w:tc>
          <w:tcPr>
            <w:tcW w:w="2272" w:type="dxa"/>
          </w:tcPr>
          <w:p w:rsidR="00C43620" w:rsidRPr="00184426" w:rsidRDefault="0078114A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Contact</w:t>
            </w:r>
          </w:p>
        </w:tc>
        <w:tc>
          <w:tcPr>
            <w:tcW w:w="7319" w:type="dxa"/>
          </w:tcPr>
          <w:p w:rsidR="00C43620" w:rsidRPr="00184426" w:rsidRDefault="00264A22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sz w:val="24"/>
                <w:szCs w:val="24"/>
              </w:rPr>
              <w:t>03334627962</w:t>
            </w:r>
          </w:p>
        </w:tc>
      </w:tr>
    </w:tbl>
    <w:p w:rsidR="00101E32" w:rsidRDefault="00101E32" w:rsidP="00101E32">
      <w:pPr>
        <w:tabs>
          <w:tab w:val="left" w:pos="569"/>
        </w:tabs>
        <w:spacing w:after="0" w:line="720" w:lineRule="auto"/>
        <w:rPr>
          <w:rFonts w:asciiTheme="majorBidi" w:hAnsiTheme="majorBidi" w:cstheme="majorBidi"/>
          <w:b/>
          <w:sz w:val="24"/>
          <w:szCs w:val="24"/>
        </w:rPr>
      </w:pPr>
    </w:p>
    <w:p w:rsidR="008F3175" w:rsidRPr="00184426" w:rsidRDefault="008F3175" w:rsidP="00101E32">
      <w:pPr>
        <w:tabs>
          <w:tab w:val="left" w:pos="569"/>
        </w:tabs>
        <w:spacing w:after="0" w:line="720" w:lineRule="auto"/>
        <w:rPr>
          <w:rFonts w:asciiTheme="majorBidi" w:hAnsiTheme="majorBidi" w:cstheme="majorBidi"/>
          <w:b/>
          <w:sz w:val="24"/>
          <w:szCs w:val="24"/>
        </w:rPr>
      </w:pPr>
      <w:r w:rsidRPr="00184426">
        <w:rPr>
          <w:rFonts w:asciiTheme="majorBidi" w:hAnsiTheme="majorBidi" w:cstheme="majorBidi"/>
          <w:b/>
          <w:sz w:val="24"/>
          <w:szCs w:val="24"/>
        </w:rPr>
        <w:t>Chairman/Director signature………………………………….</w:t>
      </w:r>
    </w:p>
    <w:p w:rsidR="0078114A" w:rsidRPr="00184426" w:rsidRDefault="008F3175" w:rsidP="00101E32">
      <w:pPr>
        <w:tabs>
          <w:tab w:val="left" w:pos="603"/>
        </w:tabs>
        <w:spacing w:after="0" w:line="720" w:lineRule="auto"/>
        <w:rPr>
          <w:rFonts w:asciiTheme="majorBidi" w:hAnsiTheme="majorBidi" w:cstheme="majorBidi"/>
          <w:b/>
          <w:sz w:val="24"/>
          <w:szCs w:val="24"/>
        </w:rPr>
      </w:pPr>
      <w:r w:rsidRPr="00184426">
        <w:rPr>
          <w:rFonts w:asciiTheme="majorBidi" w:hAnsiTheme="majorBidi" w:cstheme="majorBidi"/>
          <w:b/>
          <w:sz w:val="24"/>
          <w:szCs w:val="24"/>
        </w:rPr>
        <w:t>Dean’s signature……………………………                                  Date…………………………………………</w:t>
      </w:r>
      <w:r w:rsidR="00EB16F5" w:rsidRPr="00184426">
        <w:rPr>
          <w:rFonts w:asciiTheme="majorBidi" w:hAnsiTheme="majorBidi" w:cstheme="majorBidi"/>
          <w:b/>
          <w:sz w:val="24"/>
          <w:szCs w:val="24"/>
        </w:rPr>
        <w:t>.</w:t>
      </w:r>
    </w:p>
    <w:p w:rsidR="00101E32" w:rsidRDefault="00101E32" w:rsidP="00C43620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C43620" w:rsidRPr="00184426" w:rsidRDefault="00C43620" w:rsidP="00C43620">
      <w:pPr>
        <w:rPr>
          <w:rFonts w:asciiTheme="majorBidi" w:hAnsiTheme="majorBidi" w:cstheme="majorBidi"/>
          <w:b/>
          <w:sz w:val="24"/>
          <w:szCs w:val="24"/>
          <w:u w:val="single"/>
        </w:rPr>
      </w:pPr>
      <w:bookmarkStart w:id="0" w:name="_GoBack"/>
      <w:bookmarkEnd w:id="0"/>
      <w:r w:rsidRPr="00184426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>Learning Objective:</w:t>
      </w:r>
    </w:p>
    <w:p w:rsidR="00482761" w:rsidRPr="00184426" w:rsidRDefault="007E6C67" w:rsidP="002F680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184426">
        <w:rPr>
          <w:rFonts w:asciiTheme="majorBidi" w:hAnsiTheme="majorBidi" w:cstheme="majorBidi"/>
          <w:w w:val="105"/>
        </w:rPr>
        <w:t>This course begins with the assumption that our ability to understand curriculum,</w:t>
      </w:r>
      <w:r w:rsidRPr="00184426">
        <w:rPr>
          <w:rFonts w:asciiTheme="majorBidi" w:hAnsiTheme="majorBidi" w:cstheme="majorBidi"/>
          <w:spacing w:val="1"/>
          <w:w w:val="105"/>
        </w:rPr>
        <w:t xml:space="preserve"> </w:t>
      </w:r>
      <w:r w:rsidRPr="00184426">
        <w:rPr>
          <w:rFonts w:asciiTheme="majorBidi" w:hAnsiTheme="majorBidi" w:cstheme="majorBidi"/>
          <w:w w:val="105"/>
        </w:rPr>
        <w:t>teaching and teacher education, and learning is too often limited by our familiarity with</w:t>
      </w:r>
      <w:r w:rsidRPr="00184426">
        <w:rPr>
          <w:rFonts w:asciiTheme="majorBidi" w:hAnsiTheme="majorBidi" w:cstheme="majorBidi"/>
          <w:spacing w:val="1"/>
          <w:w w:val="105"/>
        </w:rPr>
        <w:t xml:space="preserve"> </w:t>
      </w:r>
      <w:r w:rsidRPr="00184426">
        <w:rPr>
          <w:rFonts w:asciiTheme="majorBidi" w:hAnsiTheme="majorBidi" w:cstheme="majorBidi"/>
          <w:w w:val="105"/>
        </w:rPr>
        <w:t>education.</w:t>
      </w:r>
      <w:r w:rsidR="00482761" w:rsidRPr="00184426">
        <w:rPr>
          <w:rFonts w:asciiTheme="majorBidi" w:hAnsiTheme="majorBidi" w:cstheme="majorBidi"/>
          <w:w w:val="105"/>
        </w:rPr>
        <w:t xml:space="preserve"> </w:t>
      </w:r>
      <w:r w:rsidR="00482761" w:rsidRPr="00184426">
        <w:rPr>
          <w:rFonts w:asciiTheme="majorBidi" w:hAnsiTheme="majorBidi" w:cstheme="majorBidi"/>
        </w:rPr>
        <w:t xml:space="preserve">The course will inculcate a deep understanding of teacher education, its trends and issues. It will also equip the participants with analytical and creative skills in the domains of </w:t>
      </w:r>
      <w:r w:rsidR="002F680D">
        <w:rPr>
          <w:rFonts w:asciiTheme="majorBidi" w:hAnsiTheme="majorBidi" w:cstheme="majorBidi"/>
        </w:rPr>
        <w:t xml:space="preserve">Teacher </w:t>
      </w:r>
      <w:r w:rsidR="007D7FF4">
        <w:rPr>
          <w:rFonts w:asciiTheme="majorBidi" w:hAnsiTheme="majorBidi" w:cstheme="majorBidi"/>
        </w:rPr>
        <w:t>E</w:t>
      </w:r>
      <w:r w:rsidR="007D7FF4" w:rsidRPr="00184426">
        <w:rPr>
          <w:rFonts w:asciiTheme="majorBidi" w:hAnsiTheme="majorBidi" w:cstheme="majorBidi"/>
        </w:rPr>
        <w:t>ducation with</w:t>
      </w:r>
      <w:r w:rsidR="00482761" w:rsidRPr="00184426">
        <w:rPr>
          <w:rFonts w:asciiTheme="majorBidi" w:hAnsiTheme="majorBidi" w:cstheme="majorBidi"/>
        </w:rPr>
        <w:t xml:space="preserve"> global perspectives to identify the strengths and limitations of various Teacher education systems. The participants will be able to</w:t>
      </w:r>
      <w:r w:rsidR="002F680D">
        <w:rPr>
          <w:rFonts w:asciiTheme="majorBidi" w:hAnsiTheme="majorBidi" w:cstheme="majorBidi"/>
        </w:rPr>
        <w:t>:</w:t>
      </w:r>
      <w:r w:rsidR="00482761" w:rsidRPr="00184426">
        <w:rPr>
          <w:rFonts w:asciiTheme="majorBidi" w:hAnsiTheme="majorBidi" w:cstheme="majorBidi"/>
        </w:rPr>
        <w:t xml:space="preserve"> </w:t>
      </w:r>
    </w:p>
    <w:p w:rsidR="00C43620" w:rsidRPr="00184426" w:rsidRDefault="00482761" w:rsidP="006C329B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</w:rPr>
      </w:pPr>
      <w:r w:rsidRPr="00184426">
        <w:rPr>
          <w:rFonts w:asciiTheme="majorBidi" w:hAnsiTheme="majorBidi" w:cstheme="majorBidi"/>
        </w:rPr>
        <w:t>Critically analyze various definitions of teacher education</w:t>
      </w:r>
    </w:p>
    <w:p w:rsidR="00482761" w:rsidRPr="00184426" w:rsidRDefault="00482761" w:rsidP="006C329B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</w:rPr>
      </w:pPr>
      <w:r w:rsidRPr="00184426">
        <w:rPr>
          <w:rFonts w:asciiTheme="majorBidi" w:hAnsiTheme="majorBidi" w:cstheme="majorBidi"/>
        </w:rPr>
        <w:t>Compare various models of teacher education</w:t>
      </w:r>
    </w:p>
    <w:p w:rsidR="00482761" w:rsidRPr="00184426" w:rsidRDefault="00482761" w:rsidP="006C329B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</w:rPr>
      </w:pPr>
      <w:r w:rsidRPr="00184426">
        <w:rPr>
          <w:rFonts w:asciiTheme="majorBidi" w:hAnsiTheme="majorBidi" w:cstheme="majorBidi"/>
        </w:rPr>
        <w:t>Synthesize personal experiences and knowledge bases to develop teacher education models</w:t>
      </w:r>
    </w:p>
    <w:p w:rsidR="00482761" w:rsidRPr="00184426" w:rsidRDefault="00482761" w:rsidP="006C329B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</w:rPr>
      </w:pPr>
      <w:r w:rsidRPr="00184426">
        <w:rPr>
          <w:rFonts w:asciiTheme="majorBidi" w:hAnsiTheme="majorBidi" w:cstheme="majorBidi"/>
        </w:rPr>
        <w:t xml:space="preserve">Write a term/research related to their selected area of teacher education  </w:t>
      </w:r>
    </w:p>
    <w:p w:rsidR="006C329B" w:rsidRDefault="006C329B" w:rsidP="00C43620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C43620" w:rsidRPr="00184426" w:rsidRDefault="00C43620" w:rsidP="00C43620">
      <w:pPr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b/>
          <w:sz w:val="24"/>
          <w:szCs w:val="24"/>
          <w:u w:val="single"/>
        </w:rPr>
        <w:t>Learning Methodology:</w:t>
      </w:r>
    </w:p>
    <w:p w:rsidR="00290B81" w:rsidRPr="00184426" w:rsidRDefault="006C329B" w:rsidP="00B714E1">
      <w:pPr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The</w:t>
      </w:r>
      <w:r w:rsidR="009E7C19" w:rsidRPr="00184426">
        <w:rPr>
          <w:rFonts w:asciiTheme="majorBidi" w:hAnsiTheme="majorBidi" w:cstheme="majorBidi"/>
          <w:sz w:val="24"/>
          <w:szCs w:val="24"/>
        </w:rPr>
        <w:t xml:space="preserve"> course will be taught using a variety of techniques and modes including online / on campus lectures, discussions, reading assignments, presentations, groups work, research project, and seminars.  </w:t>
      </w:r>
    </w:p>
    <w:p w:rsidR="000A7584" w:rsidRPr="00184426" w:rsidRDefault="000A7584" w:rsidP="000A7584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184426">
        <w:rPr>
          <w:rFonts w:asciiTheme="majorBidi" w:hAnsiTheme="majorBidi" w:cstheme="majorBidi"/>
          <w:b/>
          <w:sz w:val="24"/>
          <w:szCs w:val="24"/>
        </w:rPr>
        <w:t>Guideline for Assignments and Presentation:</w:t>
      </w:r>
    </w:p>
    <w:p w:rsidR="000A7584" w:rsidRPr="00184426" w:rsidRDefault="000A7584" w:rsidP="000A7584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 xml:space="preserve">Follow APA </w:t>
      </w:r>
      <w:r w:rsidR="00D7480D" w:rsidRPr="00184426">
        <w:rPr>
          <w:rFonts w:asciiTheme="majorBidi" w:hAnsiTheme="majorBidi" w:cstheme="majorBidi"/>
          <w:sz w:val="24"/>
          <w:szCs w:val="24"/>
        </w:rPr>
        <w:t>7</w:t>
      </w:r>
      <w:r w:rsidR="00D7480D" w:rsidRPr="0018442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D7480D" w:rsidRPr="00184426">
        <w:rPr>
          <w:rFonts w:asciiTheme="majorBidi" w:hAnsiTheme="majorBidi" w:cstheme="majorBidi"/>
          <w:sz w:val="24"/>
          <w:szCs w:val="24"/>
        </w:rPr>
        <w:t xml:space="preserve"> Edition </w:t>
      </w:r>
      <w:r w:rsidRPr="00184426">
        <w:rPr>
          <w:rFonts w:asciiTheme="majorBidi" w:hAnsiTheme="majorBidi" w:cstheme="majorBidi"/>
          <w:sz w:val="24"/>
          <w:szCs w:val="24"/>
        </w:rPr>
        <w:t>style in written assignments</w:t>
      </w:r>
    </w:p>
    <w:p w:rsidR="000A7584" w:rsidRPr="00184426" w:rsidRDefault="000A7584" w:rsidP="000A7584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Every presenter/pair or group must prepare a summary of presentation; and distribute in the class before/ right after presentation</w:t>
      </w:r>
    </w:p>
    <w:p w:rsidR="000A7584" w:rsidRPr="00184426" w:rsidRDefault="000A7584" w:rsidP="000A7584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Every presenter/pair or group must prepare a backup plan for presentation in case of electricity or technology failure</w:t>
      </w:r>
    </w:p>
    <w:p w:rsidR="000A7584" w:rsidRPr="00184426" w:rsidRDefault="000A7584" w:rsidP="000A7584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Meet the deadlines; due to tight schedule, there are no retakes of presentations</w:t>
      </w:r>
    </w:p>
    <w:p w:rsidR="000A7584" w:rsidRPr="00184426" w:rsidRDefault="000A7584" w:rsidP="000A7584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Use readable font style, size, slide design and color schemes</w:t>
      </w:r>
    </w:p>
    <w:p w:rsidR="000A7584" w:rsidRPr="00184426" w:rsidRDefault="000A7584" w:rsidP="000A7584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Submit written report of the presentation before presentation</w:t>
      </w:r>
    </w:p>
    <w:p w:rsidR="000A7584" w:rsidRPr="00184426" w:rsidRDefault="000A7584" w:rsidP="000A7584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All students must keep the record of all presentations and summaries, as these will be used in midterm and end term exams</w:t>
      </w:r>
    </w:p>
    <w:p w:rsidR="000A7584" w:rsidRDefault="000A7584" w:rsidP="000A7584">
      <w:pPr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 xml:space="preserve">Each presenter/pair/group will be given </w:t>
      </w:r>
      <w:r w:rsidR="00D7480D" w:rsidRPr="00184426">
        <w:rPr>
          <w:rFonts w:asciiTheme="majorBidi" w:hAnsiTheme="majorBidi" w:cstheme="majorBidi"/>
          <w:sz w:val="24"/>
          <w:szCs w:val="24"/>
        </w:rPr>
        <w:t>15-</w:t>
      </w:r>
      <w:r w:rsidRPr="00184426">
        <w:rPr>
          <w:rFonts w:asciiTheme="majorBidi" w:hAnsiTheme="majorBidi" w:cstheme="majorBidi"/>
          <w:sz w:val="24"/>
          <w:szCs w:val="24"/>
        </w:rPr>
        <w:t>20 minutes for presentation and 10 minutes for open house question answers</w:t>
      </w:r>
    </w:p>
    <w:p w:rsidR="006C329B" w:rsidRDefault="006C329B" w:rsidP="006C329B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101E32" w:rsidRPr="00184426" w:rsidRDefault="00101E32" w:rsidP="006C329B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290B81" w:rsidRPr="00184426" w:rsidRDefault="00290B81" w:rsidP="00290B81">
      <w:pPr>
        <w:tabs>
          <w:tab w:val="left" w:pos="930"/>
        </w:tabs>
        <w:rPr>
          <w:rFonts w:asciiTheme="majorBidi" w:hAnsiTheme="majorBidi" w:cstheme="majorBidi"/>
          <w:b/>
          <w:sz w:val="24"/>
          <w:szCs w:val="24"/>
          <w:u w:val="single"/>
        </w:rPr>
      </w:pPr>
      <w:r w:rsidRPr="00184426">
        <w:rPr>
          <w:rFonts w:asciiTheme="majorBidi" w:hAnsiTheme="majorBidi" w:cstheme="majorBidi"/>
          <w:b/>
          <w:sz w:val="24"/>
          <w:szCs w:val="24"/>
          <w:u w:val="single"/>
        </w:rPr>
        <w:t>Grade Evaluation Criteria</w:t>
      </w:r>
    </w:p>
    <w:p w:rsidR="00290B81" w:rsidRPr="00184426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Following is the criteria for the distribution of marks to evaluate final grade in a semester.</w:t>
      </w:r>
      <w:r w:rsidR="00D7480D" w:rsidRPr="00184426">
        <w:rPr>
          <w:rFonts w:asciiTheme="majorBidi" w:hAnsiTheme="majorBidi" w:cstheme="majorBidi"/>
          <w:sz w:val="24"/>
          <w:szCs w:val="24"/>
        </w:rPr>
        <w:t xml:space="preserve"> This is a tentative </w:t>
      </w:r>
      <w:r w:rsidR="007D7FF4" w:rsidRPr="00184426">
        <w:rPr>
          <w:rFonts w:asciiTheme="majorBidi" w:hAnsiTheme="majorBidi" w:cstheme="majorBidi"/>
          <w:sz w:val="24"/>
          <w:szCs w:val="24"/>
        </w:rPr>
        <w:t>distribution that</w:t>
      </w:r>
      <w:r w:rsidR="00D7480D" w:rsidRPr="00184426">
        <w:rPr>
          <w:rFonts w:asciiTheme="majorBidi" w:hAnsiTheme="majorBidi" w:cstheme="majorBidi"/>
          <w:sz w:val="24"/>
          <w:szCs w:val="24"/>
        </w:rPr>
        <w:t xml:space="preserve"> may vary as per directions from the competent authority of UMT. </w:t>
      </w:r>
    </w:p>
    <w:p w:rsidR="00290B81" w:rsidRPr="00184426" w:rsidRDefault="00290B81" w:rsidP="00290B81">
      <w:pPr>
        <w:tabs>
          <w:tab w:val="left" w:pos="930"/>
        </w:tabs>
        <w:rPr>
          <w:rFonts w:asciiTheme="majorBidi" w:hAnsiTheme="majorBidi" w:cstheme="majorBidi"/>
          <w:b/>
          <w:sz w:val="24"/>
          <w:szCs w:val="24"/>
        </w:rPr>
      </w:pPr>
      <w:r w:rsidRPr="00184426">
        <w:rPr>
          <w:rFonts w:asciiTheme="majorBidi" w:hAnsiTheme="majorBidi" w:cstheme="majorBidi"/>
          <w:b/>
          <w:sz w:val="24"/>
          <w:szCs w:val="24"/>
        </w:rPr>
        <w:t>Marks Evaluation</w:t>
      </w:r>
      <w:r w:rsidR="0080242E" w:rsidRPr="00184426">
        <w:rPr>
          <w:rFonts w:asciiTheme="majorBidi" w:hAnsiTheme="majorBidi" w:cstheme="majorBidi"/>
          <w:b/>
          <w:sz w:val="24"/>
          <w:szCs w:val="24"/>
        </w:rPr>
        <w:tab/>
      </w:r>
      <w:r w:rsidR="0080242E" w:rsidRPr="00184426">
        <w:rPr>
          <w:rFonts w:asciiTheme="majorBidi" w:hAnsiTheme="majorBidi" w:cstheme="majorBidi"/>
          <w:b/>
          <w:sz w:val="24"/>
          <w:szCs w:val="24"/>
        </w:rPr>
        <w:tab/>
      </w:r>
      <w:r w:rsidR="0080242E" w:rsidRPr="00184426">
        <w:rPr>
          <w:rFonts w:asciiTheme="majorBidi" w:hAnsiTheme="majorBidi" w:cstheme="majorBidi"/>
          <w:b/>
          <w:sz w:val="24"/>
          <w:szCs w:val="24"/>
        </w:rPr>
        <w:tab/>
      </w:r>
      <w:r w:rsidR="0080242E" w:rsidRPr="00184426">
        <w:rPr>
          <w:rFonts w:asciiTheme="majorBidi" w:hAnsiTheme="majorBidi" w:cstheme="majorBidi"/>
          <w:b/>
          <w:sz w:val="24"/>
          <w:szCs w:val="24"/>
        </w:rPr>
        <w:tab/>
      </w:r>
      <w:r w:rsidR="0080242E"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 xml:space="preserve">Marks in percentage </w:t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</w:p>
    <w:p w:rsidR="00290B81" w:rsidRPr="00184426" w:rsidRDefault="00275249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Quizzes</w:t>
      </w:r>
      <w:r w:rsidR="00290B81" w:rsidRPr="00184426">
        <w:rPr>
          <w:rFonts w:asciiTheme="majorBidi" w:hAnsiTheme="majorBidi" w:cstheme="majorBidi"/>
          <w:sz w:val="24"/>
          <w:szCs w:val="24"/>
        </w:rPr>
        <w:tab/>
      </w:r>
      <w:r w:rsidR="00290B81" w:rsidRPr="00184426">
        <w:rPr>
          <w:rFonts w:asciiTheme="majorBidi" w:hAnsiTheme="majorBidi" w:cstheme="majorBidi"/>
          <w:sz w:val="24"/>
          <w:szCs w:val="24"/>
        </w:rPr>
        <w:tab/>
      </w:r>
      <w:r w:rsidR="00290B81" w:rsidRPr="00184426">
        <w:rPr>
          <w:rFonts w:asciiTheme="majorBidi" w:hAnsiTheme="majorBidi" w:cstheme="majorBidi"/>
          <w:sz w:val="24"/>
          <w:szCs w:val="24"/>
        </w:rPr>
        <w:tab/>
      </w:r>
      <w:r w:rsidR="00290B81" w:rsidRPr="00184426">
        <w:rPr>
          <w:rFonts w:asciiTheme="majorBidi" w:hAnsiTheme="majorBidi" w:cstheme="majorBidi"/>
          <w:sz w:val="24"/>
          <w:szCs w:val="24"/>
        </w:rPr>
        <w:tab/>
      </w:r>
      <w:r w:rsidR="00290B81" w:rsidRPr="00184426">
        <w:rPr>
          <w:rFonts w:asciiTheme="majorBidi" w:hAnsiTheme="majorBidi" w:cstheme="majorBidi"/>
          <w:sz w:val="24"/>
          <w:szCs w:val="24"/>
        </w:rPr>
        <w:tab/>
      </w:r>
      <w:r w:rsidR="00290B81" w:rsidRPr="00184426">
        <w:rPr>
          <w:rFonts w:asciiTheme="majorBidi" w:hAnsiTheme="majorBidi" w:cstheme="majorBidi"/>
          <w:sz w:val="24"/>
          <w:szCs w:val="24"/>
        </w:rPr>
        <w:tab/>
      </w:r>
      <w:r w:rsidR="00290B81" w:rsidRPr="00184426">
        <w:rPr>
          <w:rFonts w:asciiTheme="majorBidi" w:hAnsiTheme="majorBidi" w:cstheme="majorBidi"/>
          <w:sz w:val="24"/>
          <w:szCs w:val="24"/>
        </w:rPr>
        <w:tab/>
      </w:r>
      <w:r w:rsidR="00290B81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>10</w:t>
      </w:r>
    </w:p>
    <w:p w:rsidR="00290B81" w:rsidRPr="00184426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Assignments</w:t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0359BB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>20</w:t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</w:p>
    <w:p w:rsidR="00290B81" w:rsidRPr="00184426" w:rsidRDefault="00290B81" w:rsidP="00D7480D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Mid Term</w:t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>20</w:t>
      </w:r>
      <w:r w:rsidRPr="00184426">
        <w:rPr>
          <w:rFonts w:asciiTheme="majorBidi" w:hAnsiTheme="majorBidi" w:cstheme="majorBidi"/>
          <w:sz w:val="24"/>
          <w:szCs w:val="24"/>
        </w:rPr>
        <w:tab/>
      </w:r>
      <w:r w:rsidRPr="00184426">
        <w:rPr>
          <w:rFonts w:asciiTheme="majorBidi" w:hAnsiTheme="majorBidi" w:cstheme="majorBidi"/>
          <w:sz w:val="24"/>
          <w:szCs w:val="24"/>
        </w:rPr>
        <w:tab/>
      </w:r>
    </w:p>
    <w:p w:rsidR="00290B81" w:rsidRPr="00184426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Term Project</w:t>
      </w:r>
      <w:r w:rsidR="00D7480D" w:rsidRPr="00184426">
        <w:rPr>
          <w:rFonts w:asciiTheme="majorBidi" w:hAnsiTheme="majorBidi" w:cstheme="majorBidi"/>
          <w:sz w:val="24"/>
          <w:szCs w:val="24"/>
        </w:rPr>
        <w:t>/paper</w:t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0359BB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>20</w:t>
      </w:r>
      <w:r w:rsidRPr="00184426">
        <w:rPr>
          <w:rFonts w:asciiTheme="majorBidi" w:hAnsiTheme="majorBidi" w:cstheme="majorBidi"/>
          <w:sz w:val="24"/>
          <w:szCs w:val="24"/>
        </w:rPr>
        <w:tab/>
      </w:r>
    </w:p>
    <w:p w:rsidR="00290B81" w:rsidRPr="00184426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Final exam</w:t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  <w:t>30</w:t>
      </w:r>
    </w:p>
    <w:p w:rsidR="00290B81" w:rsidRPr="00184426" w:rsidRDefault="00290B81" w:rsidP="00290B81">
      <w:pPr>
        <w:tabs>
          <w:tab w:val="left" w:pos="930"/>
        </w:tabs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Total</w:t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</w:r>
      <w:r w:rsidR="00D7480D" w:rsidRPr="00184426">
        <w:rPr>
          <w:rFonts w:asciiTheme="majorBidi" w:hAnsiTheme="majorBidi" w:cstheme="majorBidi"/>
          <w:sz w:val="24"/>
          <w:szCs w:val="24"/>
        </w:rPr>
        <w:tab/>
        <w:t>100</w:t>
      </w:r>
    </w:p>
    <w:p w:rsidR="00290B81" w:rsidRPr="00184426" w:rsidRDefault="00290B81" w:rsidP="00290B81">
      <w:pPr>
        <w:rPr>
          <w:rFonts w:asciiTheme="majorBidi" w:hAnsiTheme="majorBidi" w:cstheme="majorBidi"/>
          <w:sz w:val="24"/>
          <w:szCs w:val="24"/>
        </w:rPr>
      </w:pPr>
    </w:p>
    <w:p w:rsidR="00290B81" w:rsidRPr="00184426" w:rsidRDefault="00290B81" w:rsidP="00290B81">
      <w:pPr>
        <w:tabs>
          <w:tab w:val="left" w:pos="930"/>
        </w:tabs>
        <w:rPr>
          <w:rFonts w:asciiTheme="majorBidi" w:hAnsiTheme="majorBidi" w:cstheme="majorBidi"/>
          <w:b/>
          <w:sz w:val="24"/>
          <w:szCs w:val="24"/>
          <w:u w:val="single"/>
        </w:rPr>
      </w:pPr>
      <w:r w:rsidRPr="00184426">
        <w:rPr>
          <w:rFonts w:asciiTheme="majorBidi" w:hAnsiTheme="majorBidi" w:cstheme="majorBidi"/>
          <w:b/>
          <w:sz w:val="24"/>
          <w:szCs w:val="24"/>
          <w:u w:val="single"/>
        </w:rPr>
        <w:t>Recommended Text Books:</w:t>
      </w:r>
    </w:p>
    <w:p w:rsidR="00482761" w:rsidRPr="00184426" w:rsidRDefault="00482761" w:rsidP="00482761">
      <w:pPr>
        <w:pStyle w:val="ListParagraph"/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25" w:lineRule="auto"/>
        <w:ind w:right="714"/>
        <w:contextualSpacing w:val="0"/>
        <w:rPr>
          <w:rFonts w:asciiTheme="majorBidi" w:hAnsiTheme="majorBidi" w:cstheme="majorBidi"/>
          <w:sz w:val="24"/>
          <w:szCs w:val="24"/>
        </w:rPr>
      </w:pP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Motoko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Akiba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 and Gerald </w:t>
      </w: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Letendre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>. (2009).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proofErr w:type="gramStart"/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Improving</w:t>
      </w:r>
      <w:proofErr w:type="gramEnd"/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 xml:space="preserve"> teacher quality: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The U.S. teaching</w:t>
      </w:r>
      <w:r w:rsidRPr="00184426">
        <w:rPr>
          <w:rFonts w:asciiTheme="majorBidi" w:hAnsiTheme="majorBidi" w:cstheme="majorBidi"/>
          <w:i/>
          <w:spacing w:val="-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force in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global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context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.</w:t>
      </w:r>
      <w:r w:rsidRPr="00184426">
        <w:rPr>
          <w:rFonts w:asciiTheme="majorBidi" w:hAnsiTheme="majorBidi" w:cstheme="majorBidi"/>
          <w:spacing w:val="49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NY:  Teachers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College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Press.</w:t>
      </w:r>
    </w:p>
    <w:p w:rsidR="00482761" w:rsidRPr="00184426" w:rsidRDefault="00482761" w:rsidP="00482761">
      <w:pPr>
        <w:pStyle w:val="ListParagraph"/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before="9" w:after="0" w:line="230" w:lineRule="auto"/>
        <w:ind w:right="998"/>
        <w:contextualSpacing w:val="0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w w:val="105"/>
          <w:sz w:val="24"/>
          <w:szCs w:val="24"/>
        </w:rPr>
        <w:t>Kathryn Anderson-Levitt. (2003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).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Local Meanings, Global Schooling: Anthropology and</w:t>
      </w:r>
      <w:r w:rsidRPr="00184426">
        <w:rPr>
          <w:rFonts w:asciiTheme="majorBidi" w:hAnsiTheme="majorBidi" w:cstheme="majorBidi"/>
          <w:i/>
          <w:spacing w:val="-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World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Culture Theory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.  New</w:t>
      </w:r>
      <w:r w:rsidRPr="00184426">
        <w:rPr>
          <w:rFonts w:asciiTheme="majorBidi" w:hAnsiTheme="majorBidi" w:cstheme="majorBidi"/>
          <w:spacing w:val="2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York:  Palgrave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Macmillan.</w:t>
      </w:r>
    </w:p>
    <w:p w:rsidR="00482761" w:rsidRPr="00184426" w:rsidRDefault="00482761" w:rsidP="00482761">
      <w:pPr>
        <w:pStyle w:val="ListParagraph"/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before="9" w:after="0" w:line="228" w:lineRule="auto"/>
        <w:ind w:right="570"/>
        <w:contextualSpacing w:val="0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David Phillips and Michelle </w:t>
      </w: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Schweisfurth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. (2008). </w:t>
      </w:r>
      <w:proofErr w:type="gramStart"/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Comparative</w:t>
      </w:r>
      <w:proofErr w:type="gramEnd"/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 xml:space="preserve"> and international education:</w:t>
      </w:r>
      <w:r w:rsidRPr="00184426">
        <w:rPr>
          <w:rFonts w:asciiTheme="majorBidi" w:hAnsiTheme="majorBidi" w:cstheme="majorBidi"/>
          <w:i/>
          <w:spacing w:val="-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An introduction to theory, method, and practice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. NY: Continuum International Publishing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Group.</w:t>
      </w:r>
    </w:p>
    <w:p w:rsidR="00290B81" w:rsidRPr="00184426" w:rsidRDefault="00482761" w:rsidP="00482761">
      <w:pPr>
        <w:pStyle w:val="ListParagraph"/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before="7" w:after="0" w:line="230" w:lineRule="auto"/>
        <w:ind w:right="496"/>
        <w:contextualSpacing w:val="0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Joseph Tobin, Y. Hsueh, and </w:t>
      </w: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Karasawa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 (2009)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Preschool in Three Cultures Revisited: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China,</w:t>
      </w:r>
      <w:r w:rsidRPr="00184426">
        <w:rPr>
          <w:rFonts w:asciiTheme="majorBidi" w:hAnsiTheme="majorBidi" w:cstheme="majorBidi"/>
          <w:i/>
          <w:spacing w:val="-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Japan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and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the United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States.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Chicago: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University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of Chicago</w:t>
      </w:r>
      <w:r w:rsidRPr="00184426">
        <w:rPr>
          <w:rFonts w:asciiTheme="majorBidi" w:hAnsiTheme="majorBidi" w:cstheme="majorBidi"/>
          <w:spacing w:val="2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Press.</w:t>
      </w:r>
    </w:p>
    <w:p w:rsidR="00290B81" w:rsidRPr="00184426" w:rsidRDefault="00290B81" w:rsidP="00290B81">
      <w:pPr>
        <w:tabs>
          <w:tab w:val="left" w:pos="930"/>
        </w:tabs>
        <w:rPr>
          <w:rFonts w:asciiTheme="majorBidi" w:hAnsiTheme="majorBidi" w:cstheme="majorBidi"/>
          <w:b/>
          <w:sz w:val="24"/>
          <w:szCs w:val="24"/>
          <w:u w:val="single"/>
        </w:rPr>
      </w:pPr>
      <w:r w:rsidRPr="00184426">
        <w:rPr>
          <w:rFonts w:asciiTheme="majorBidi" w:hAnsiTheme="majorBidi" w:cstheme="majorBidi"/>
          <w:b/>
          <w:sz w:val="24"/>
          <w:szCs w:val="24"/>
          <w:u w:val="single"/>
        </w:rPr>
        <w:t>Reference Books:</w:t>
      </w:r>
    </w:p>
    <w:p w:rsidR="00F63AC6" w:rsidRPr="00184426" w:rsidRDefault="00F63AC6" w:rsidP="00F63AC6">
      <w:pPr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84426">
        <w:rPr>
          <w:rFonts w:asciiTheme="majorBidi" w:hAnsiTheme="majorBidi" w:cstheme="majorBidi"/>
          <w:sz w:val="24"/>
          <w:szCs w:val="24"/>
        </w:rPr>
        <w:t>Chaube</w:t>
      </w:r>
      <w:proofErr w:type="gramStart"/>
      <w:r w:rsidRPr="00184426">
        <w:rPr>
          <w:rFonts w:asciiTheme="majorBidi" w:hAnsiTheme="majorBidi" w:cstheme="majorBidi"/>
          <w:sz w:val="24"/>
          <w:szCs w:val="24"/>
        </w:rPr>
        <w:t>,P.S</w:t>
      </w:r>
      <w:proofErr w:type="spellEnd"/>
      <w:proofErr w:type="gramEnd"/>
      <w:r w:rsidRPr="00184426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184426">
        <w:rPr>
          <w:rFonts w:asciiTheme="majorBidi" w:hAnsiTheme="majorBidi" w:cstheme="majorBidi"/>
          <w:sz w:val="24"/>
          <w:szCs w:val="24"/>
        </w:rPr>
        <w:t>Chaube,A</w:t>
      </w:r>
      <w:proofErr w:type="spellEnd"/>
      <w:r w:rsidRPr="00184426">
        <w:rPr>
          <w:rFonts w:asciiTheme="majorBidi" w:hAnsiTheme="majorBidi" w:cstheme="majorBidi"/>
          <w:sz w:val="24"/>
          <w:szCs w:val="24"/>
        </w:rPr>
        <w:t xml:space="preserve">.(2003). </w:t>
      </w:r>
      <w:r w:rsidRPr="00184426">
        <w:rPr>
          <w:rFonts w:asciiTheme="majorBidi" w:hAnsiTheme="majorBidi" w:cstheme="majorBidi"/>
          <w:i/>
          <w:sz w:val="24"/>
          <w:szCs w:val="24"/>
        </w:rPr>
        <w:t>Comparative Education.</w:t>
      </w:r>
      <w:r w:rsidRPr="001844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4426">
        <w:rPr>
          <w:rFonts w:asciiTheme="majorBidi" w:hAnsiTheme="majorBidi" w:cstheme="majorBidi"/>
          <w:sz w:val="24"/>
          <w:szCs w:val="24"/>
        </w:rPr>
        <w:t>Vikas</w:t>
      </w:r>
      <w:proofErr w:type="spellEnd"/>
      <w:r w:rsidRPr="00184426">
        <w:rPr>
          <w:rFonts w:asciiTheme="majorBidi" w:hAnsiTheme="majorBidi" w:cstheme="majorBidi"/>
          <w:sz w:val="24"/>
          <w:szCs w:val="24"/>
        </w:rPr>
        <w:t xml:space="preserve"> Publishing House, Delhi</w:t>
      </w:r>
    </w:p>
    <w:p w:rsidR="00114720" w:rsidRPr="00184426" w:rsidRDefault="00114720" w:rsidP="00114720">
      <w:pPr>
        <w:pStyle w:val="BodyText"/>
        <w:numPr>
          <w:ilvl w:val="0"/>
          <w:numId w:val="4"/>
        </w:numPr>
        <w:spacing w:before="80" w:line="206" w:lineRule="auto"/>
        <w:ind w:right="833"/>
        <w:rPr>
          <w:rFonts w:asciiTheme="majorBidi" w:hAnsiTheme="majorBidi" w:cstheme="majorBidi"/>
          <w:sz w:val="24"/>
          <w:szCs w:val="24"/>
        </w:rPr>
      </w:pP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Gardinier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>, M. P. (2012). Agents of change and continuity: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The pivotal role of teachers</w:t>
      </w:r>
      <w:r w:rsidRPr="00184426">
        <w:rPr>
          <w:rFonts w:asciiTheme="majorBidi" w:hAnsiTheme="majorBidi" w:cstheme="majorBidi"/>
          <w:spacing w:val="-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in Albanian educational reform and democratization.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Comparative Education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Review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56</w:t>
      </w:r>
      <w:r w:rsidRPr="00184426">
        <w:rPr>
          <w:rFonts w:asciiTheme="majorBidi" w:hAnsiTheme="majorBidi" w:cstheme="majorBidi"/>
          <w:i/>
          <w:spacing w:val="2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(4): 659-683.</w:t>
      </w:r>
    </w:p>
    <w:p w:rsidR="00114720" w:rsidRPr="00184426" w:rsidRDefault="00114720" w:rsidP="00114720">
      <w:pPr>
        <w:pStyle w:val="BodyText"/>
        <w:numPr>
          <w:ilvl w:val="0"/>
          <w:numId w:val="4"/>
        </w:numPr>
        <w:spacing w:before="80" w:line="206" w:lineRule="auto"/>
        <w:ind w:right="833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 xml:space="preserve">Kiyoko </w:t>
      </w:r>
      <w:proofErr w:type="spellStart"/>
      <w:r w:rsidRPr="00184426">
        <w:rPr>
          <w:rFonts w:asciiTheme="majorBidi" w:hAnsiTheme="majorBidi" w:cstheme="majorBidi"/>
          <w:sz w:val="24"/>
          <w:szCs w:val="24"/>
        </w:rPr>
        <w:t>Uematsu-Ervast</w:t>
      </w:r>
      <w:proofErr w:type="spellEnd"/>
      <w:r w:rsidRPr="00184426">
        <w:rPr>
          <w:rFonts w:asciiTheme="majorBidi" w:hAnsiTheme="majorBidi" w:cstheme="majorBidi"/>
          <w:sz w:val="24"/>
          <w:szCs w:val="24"/>
        </w:rPr>
        <w:t xml:space="preserve"> (2019). </w:t>
      </w:r>
      <w:r w:rsidR="006A13C3" w:rsidRPr="00184426">
        <w:rPr>
          <w:rFonts w:asciiTheme="majorBidi" w:hAnsiTheme="majorBidi" w:cstheme="majorBidi"/>
          <w:sz w:val="24"/>
          <w:szCs w:val="24"/>
        </w:rPr>
        <w:t>G</w:t>
      </w:r>
      <w:r w:rsidRPr="00184426">
        <w:rPr>
          <w:rFonts w:asciiTheme="majorBidi" w:hAnsiTheme="majorBidi" w:cstheme="majorBidi"/>
          <w:sz w:val="24"/>
          <w:szCs w:val="24"/>
        </w:rPr>
        <w:t>lobal perspectives of Teacher Education</w:t>
      </w:r>
    </w:p>
    <w:p w:rsidR="00F63AC6" w:rsidRPr="00184426" w:rsidRDefault="00F63AC6" w:rsidP="00F63AC6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184426">
        <w:rPr>
          <w:rFonts w:asciiTheme="majorBidi" w:hAnsiTheme="majorBidi" w:cstheme="majorBidi"/>
          <w:sz w:val="24"/>
          <w:szCs w:val="24"/>
        </w:rPr>
        <w:t>Mugo</w:t>
      </w:r>
      <w:proofErr w:type="spellEnd"/>
      <w:r w:rsidRPr="00184426">
        <w:rPr>
          <w:rFonts w:asciiTheme="majorBidi" w:hAnsiTheme="majorBidi" w:cstheme="majorBidi"/>
          <w:sz w:val="24"/>
          <w:szCs w:val="24"/>
        </w:rPr>
        <w:t xml:space="preserve">, P. and </w:t>
      </w:r>
      <w:proofErr w:type="spellStart"/>
      <w:r w:rsidRPr="00184426">
        <w:rPr>
          <w:rFonts w:asciiTheme="majorBidi" w:hAnsiTheme="majorBidi" w:cstheme="majorBidi"/>
          <w:sz w:val="24"/>
          <w:szCs w:val="24"/>
        </w:rPr>
        <w:t>Wolhuter</w:t>
      </w:r>
      <w:proofErr w:type="spellEnd"/>
      <w:r w:rsidRPr="00184426">
        <w:rPr>
          <w:rFonts w:asciiTheme="majorBidi" w:hAnsiTheme="majorBidi" w:cstheme="majorBidi"/>
          <w:sz w:val="24"/>
          <w:szCs w:val="24"/>
        </w:rPr>
        <w:t xml:space="preserve">, C.C. (2013). </w:t>
      </w:r>
      <w:r w:rsidRPr="00184426">
        <w:rPr>
          <w:rFonts w:asciiTheme="majorBidi" w:hAnsiTheme="majorBidi" w:cstheme="majorBidi"/>
          <w:i/>
          <w:sz w:val="24"/>
          <w:szCs w:val="24"/>
        </w:rPr>
        <w:t xml:space="preserve">Comparative </w:t>
      </w:r>
      <w:r w:rsidR="0075762D" w:rsidRPr="00184426">
        <w:rPr>
          <w:rFonts w:asciiTheme="majorBidi" w:hAnsiTheme="majorBidi" w:cstheme="majorBidi"/>
          <w:i/>
          <w:sz w:val="24"/>
          <w:szCs w:val="24"/>
        </w:rPr>
        <w:t xml:space="preserve">Teacher </w:t>
      </w:r>
      <w:r w:rsidRPr="00184426">
        <w:rPr>
          <w:rFonts w:asciiTheme="majorBidi" w:hAnsiTheme="majorBidi" w:cstheme="majorBidi"/>
          <w:i/>
          <w:sz w:val="24"/>
          <w:szCs w:val="24"/>
        </w:rPr>
        <w:t>Education.</w:t>
      </w:r>
      <w:r w:rsidRPr="00184426">
        <w:rPr>
          <w:rFonts w:asciiTheme="majorBidi" w:hAnsiTheme="majorBidi" w:cstheme="majorBidi"/>
          <w:sz w:val="24"/>
          <w:szCs w:val="24"/>
        </w:rPr>
        <w:t xml:space="preserve">  platinum Press </w:t>
      </w:r>
    </w:p>
    <w:p w:rsidR="00513914" w:rsidRPr="00184426" w:rsidRDefault="00513914" w:rsidP="00513914">
      <w:pPr>
        <w:spacing w:after="0" w:line="240" w:lineRule="auto"/>
        <w:ind w:left="63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114720" w:rsidRPr="00184426" w:rsidRDefault="00114720" w:rsidP="00114720">
      <w:pPr>
        <w:pStyle w:val="ListParagraph"/>
        <w:numPr>
          <w:ilvl w:val="0"/>
          <w:numId w:val="4"/>
        </w:numPr>
        <w:spacing w:before="91" w:line="206" w:lineRule="auto"/>
        <w:ind w:right="801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w w:val="105"/>
          <w:sz w:val="24"/>
          <w:szCs w:val="24"/>
        </w:rPr>
        <w:lastRenderedPageBreak/>
        <w:t xml:space="preserve">Paine and </w:t>
      </w: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Zeichner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 (2012). The local and the global in reforming teaching and teacher</w:t>
      </w:r>
      <w:r w:rsidRPr="00184426">
        <w:rPr>
          <w:rFonts w:asciiTheme="majorBidi" w:hAnsiTheme="majorBidi" w:cstheme="majorBidi"/>
          <w:spacing w:val="-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education.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Comparative Education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Review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56</w:t>
      </w:r>
      <w:r w:rsidRPr="00184426">
        <w:rPr>
          <w:rFonts w:asciiTheme="majorBidi" w:hAnsiTheme="majorBidi" w:cstheme="majorBidi"/>
          <w:i/>
          <w:spacing w:val="2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(4): 569-583.</w:t>
      </w:r>
    </w:p>
    <w:p w:rsidR="008428F1" w:rsidRPr="00184426" w:rsidRDefault="008428F1" w:rsidP="008428F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428F1" w:rsidRPr="00184426" w:rsidRDefault="008428F1" w:rsidP="00114720">
      <w:pPr>
        <w:pStyle w:val="ListParagraph"/>
        <w:numPr>
          <w:ilvl w:val="0"/>
          <w:numId w:val="4"/>
        </w:numPr>
        <w:spacing w:before="91" w:line="206" w:lineRule="auto"/>
        <w:ind w:right="801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 xml:space="preserve">Robinson, M., &amp; </w:t>
      </w:r>
      <w:proofErr w:type="spellStart"/>
      <w:r w:rsidRPr="00184426">
        <w:rPr>
          <w:rFonts w:asciiTheme="majorBidi" w:hAnsiTheme="majorBidi" w:cstheme="majorBidi"/>
          <w:sz w:val="24"/>
          <w:szCs w:val="24"/>
        </w:rPr>
        <w:t>Mogliacci</w:t>
      </w:r>
      <w:proofErr w:type="spellEnd"/>
      <w:r w:rsidRPr="00184426">
        <w:rPr>
          <w:rFonts w:asciiTheme="majorBidi" w:hAnsiTheme="majorBidi" w:cstheme="majorBidi"/>
          <w:sz w:val="24"/>
          <w:szCs w:val="24"/>
        </w:rPr>
        <w:t xml:space="preserve">, R.  Conceptions and Models of Teacher Education. </w:t>
      </w:r>
      <w:r w:rsidRPr="00184426">
        <w:rPr>
          <w:rFonts w:asciiTheme="majorBidi" w:hAnsiTheme="majorBidi" w:cstheme="majorBidi"/>
          <w:i/>
          <w:iCs/>
          <w:sz w:val="24"/>
          <w:szCs w:val="24"/>
        </w:rPr>
        <w:t>Oxford Research Encyclopedia of Education.</w:t>
      </w:r>
      <w:r w:rsidRPr="00184426">
        <w:rPr>
          <w:rFonts w:asciiTheme="majorBidi" w:hAnsiTheme="majorBidi" w:cstheme="majorBidi"/>
          <w:sz w:val="24"/>
          <w:szCs w:val="24"/>
        </w:rPr>
        <w:t> Retrieved 16 Jun. 2021, from https://oxfordre.com/education/view/10.1093/acrefore/9780190264093.001.0001/acrefore-9780190264093-e-571.</w:t>
      </w:r>
    </w:p>
    <w:p w:rsidR="00E04684" w:rsidRPr="00184426" w:rsidRDefault="00E04684" w:rsidP="00E04684">
      <w:pPr>
        <w:pStyle w:val="BodyText"/>
        <w:numPr>
          <w:ilvl w:val="0"/>
          <w:numId w:val="4"/>
        </w:numPr>
        <w:spacing w:line="225" w:lineRule="auto"/>
        <w:ind w:right="730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Stephen Carney, J. </w:t>
      </w: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Rappleye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, and I. </w:t>
      </w: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Silova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>. (2012).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proofErr w:type="gramStart"/>
      <w:r w:rsidRPr="00184426">
        <w:rPr>
          <w:rFonts w:asciiTheme="majorBidi" w:hAnsiTheme="majorBidi" w:cstheme="majorBidi"/>
          <w:w w:val="105"/>
          <w:sz w:val="24"/>
          <w:szCs w:val="24"/>
        </w:rPr>
        <w:t>Between</w:t>
      </w:r>
      <w:proofErr w:type="gramEnd"/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 faith and science: World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culture theory and comparative education.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Comparative Education Review 56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(3):</w:t>
      </w:r>
      <w:r w:rsidRPr="00184426">
        <w:rPr>
          <w:rFonts w:asciiTheme="majorBidi" w:hAnsiTheme="majorBidi" w:cstheme="majorBidi"/>
          <w:spacing w:val="-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363-393.</w:t>
      </w:r>
    </w:p>
    <w:p w:rsidR="00E04684" w:rsidRPr="00184426" w:rsidRDefault="00E04684" w:rsidP="00543452">
      <w:pPr>
        <w:pStyle w:val="BodyText"/>
        <w:numPr>
          <w:ilvl w:val="0"/>
          <w:numId w:val="4"/>
        </w:numPr>
        <w:spacing w:line="225" w:lineRule="auto"/>
        <w:ind w:right="505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w w:val="105"/>
          <w:sz w:val="24"/>
          <w:szCs w:val="24"/>
        </w:rPr>
        <w:t>Thomas Clayton. (2004) “Competing conceptions of globalization” revisited: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Re-locating</w:t>
      </w:r>
      <w:r w:rsidRPr="00184426">
        <w:rPr>
          <w:rFonts w:asciiTheme="majorBidi" w:hAnsiTheme="majorBidi" w:cstheme="majorBidi"/>
          <w:spacing w:val="-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the tensions</w:t>
      </w:r>
      <w:r w:rsidRPr="00184426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between world-systems analysis</w:t>
      </w:r>
      <w:r w:rsidRPr="00184426">
        <w:rPr>
          <w:rFonts w:asciiTheme="majorBidi" w:hAnsiTheme="majorBidi" w:cstheme="majorBidi"/>
          <w:spacing w:val="-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and globalization analysis.</w:t>
      </w:r>
      <w:r w:rsidR="00543452" w:rsidRPr="00184426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Comparative</w:t>
      </w:r>
      <w:r w:rsidRPr="00184426">
        <w:rPr>
          <w:rFonts w:asciiTheme="majorBidi" w:hAnsiTheme="majorBidi" w:cstheme="majorBidi"/>
          <w:i/>
          <w:spacing w:val="-2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Education Review,</w:t>
      </w:r>
      <w:r w:rsidRPr="00184426">
        <w:rPr>
          <w:rFonts w:asciiTheme="majorBidi" w:hAnsiTheme="majorBidi" w:cstheme="majorBidi"/>
          <w:i/>
          <w:spacing w:val="-2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 xml:space="preserve">48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(3):</w:t>
      </w:r>
      <w:r w:rsidRPr="00184426">
        <w:rPr>
          <w:rFonts w:asciiTheme="majorBidi" w:hAnsiTheme="majorBidi" w:cstheme="majorBidi"/>
          <w:spacing w:val="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274-294.</w:t>
      </w:r>
    </w:p>
    <w:p w:rsidR="00543452" w:rsidRPr="00184426" w:rsidRDefault="00543452" w:rsidP="00543452">
      <w:pPr>
        <w:pStyle w:val="BodyText"/>
        <w:numPr>
          <w:ilvl w:val="0"/>
          <w:numId w:val="4"/>
        </w:numPr>
        <w:spacing w:line="206" w:lineRule="auto"/>
        <w:ind w:right="833"/>
        <w:rPr>
          <w:rFonts w:asciiTheme="majorBidi" w:hAnsiTheme="majorBidi" w:cstheme="majorBidi"/>
          <w:sz w:val="24"/>
          <w:szCs w:val="24"/>
        </w:rPr>
      </w:pPr>
      <w:proofErr w:type="spellStart"/>
      <w:r w:rsidRPr="00184426">
        <w:rPr>
          <w:rFonts w:asciiTheme="majorBidi" w:hAnsiTheme="majorBidi" w:cstheme="majorBidi"/>
          <w:w w:val="105"/>
          <w:sz w:val="24"/>
          <w:szCs w:val="24"/>
        </w:rPr>
        <w:t>Vavrus</w:t>
      </w:r>
      <w:proofErr w:type="spellEnd"/>
      <w:r w:rsidRPr="00184426">
        <w:rPr>
          <w:rFonts w:asciiTheme="majorBidi" w:hAnsiTheme="majorBidi" w:cstheme="majorBidi"/>
          <w:w w:val="105"/>
          <w:sz w:val="24"/>
          <w:szCs w:val="24"/>
        </w:rPr>
        <w:t>, F. and Bartlett, L. (2012). Comparative pedagogies and epistemological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diversity:</w:t>
      </w:r>
      <w:r w:rsidRPr="00184426">
        <w:rPr>
          <w:rFonts w:asciiTheme="majorBidi" w:hAnsiTheme="majorBidi" w:cstheme="majorBidi"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 xml:space="preserve">Social and materials contexts of teaching in Tanzania.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Comparative</w:t>
      </w:r>
      <w:r w:rsidRPr="00184426">
        <w:rPr>
          <w:rFonts w:asciiTheme="majorBidi" w:hAnsiTheme="majorBidi" w:cstheme="majorBidi"/>
          <w:i/>
          <w:spacing w:val="-47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Education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Review</w:t>
      </w:r>
      <w:r w:rsidRPr="00184426">
        <w:rPr>
          <w:rFonts w:asciiTheme="majorBidi" w:hAnsiTheme="majorBidi" w:cstheme="majorBidi"/>
          <w:i/>
          <w:spacing w:val="1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i/>
          <w:w w:val="105"/>
          <w:sz w:val="24"/>
          <w:szCs w:val="24"/>
        </w:rPr>
        <w:t>56</w:t>
      </w:r>
      <w:r w:rsidRPr="00184426">
        <w:rPr>
          <w:rFonts w:asciiTheme="majorBidi" w:hAnsiTheme="majorBidi" w:cstheme="majorBidi"/>
          <w:i/>
          <w:spacing w:val="2"/>
          <w:w w:val="105"/>
          <w:sz w:val="24"/>
          <w:szCs w:val="24"/>
        </w:rPr>
        <w:t xml:space="preserve"> </w:t>
      </w:r>
      <w:r w:rsidRPr="00184426">
        <w:rPr>
          <w:rFonts w:asciiTheme="majorBidi" w:hAnsiTheme="majorBidi" w:cstheme="majorBidi"/>
          <w:w w:val="105"/>
          <w:sz w:val="24"/>
          <w:szCs w:val="24"/>
        </w:rPr>
        <w:t>(4): 634-658.</w:t>
      </w:r>
    </w:p>
    <w:p w:rsidR="00F63AC6" w:rsidRPr="00184426" w:rsidRDefault="00F63AC6" w:rsidP="00F63AC6">
      <w:pPr>
        <w:spacing w:after="0" w:line="240" w:lineRule="auto"/>
        <w:ind w:left="63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63AC6" w:rsidRPr="00184426" w:rsidRDefault="00F63AC6" w:rsidP="00F63AC6">
      <w:pPr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National Education Policies, Pakistan</w:t>
      </w:r>
    </w:p>
    <w:p w:rsidR="00F63AC6" w:rsidRPr="00184426" w:rsidRDefault="00F63AC6" w:rsidP="00F63AC6">
      <w:pPr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 xml:space="preserve">Education Statistics Pakistan </w:t>
      </w:r>
    </w:p>
    <w:p w:rsidR="00F63AC6" w:rsidRPr="00184426" w:rsidRDefault="00F63AC6" w:rsidP="00F63AC6">
      <w:pPr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 xml:space="preserve">Education Policies </w:t>
      </w:r>
      <w:r w:rsidR="00D76C06" w:rsidRPr="00184426">
        <w:rPr>
          <w:rFonts w:asciiTheme="majorBidi" w:hAnsiTheme="majorBidi" w:cstheme="majorBidi"/>
          <w:sz w:val="24"/>
          <w:szCs w:val="24"/>
        </w:rPr>
        <w:t xml:space="preserve">and Economic surveys </w:t>
      </w:r>
      <w:r w:rsidRPr="00184426">
        <w:rPr>
          <w:rFonts w:asciiTheme="majorBidi" w:hAnsiTheme="majorBidi" w:cstheme="majorBidi"/>
          <w:sz w:val="24"/>
          <w:szCs w:val="24"/>
        </w:rPr>
        <w:t xml:space="preserve">of Pakistan </w:t>
      </w:r>
    </w:p>
    <w:p w:rsidR="00F63AC6" w:rsidRPr="00184426" w:rsidRDefault="00F63AC6" w:rsidP="00F63AC6">
      <w:pPr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 xml:space="preserve">UNESCO, EFA &amp; MDG, SGDs  reports about Pakistan </w:t>
      </w:r>
    </w:p>
    <w:p w:rsidR="00F63AC6" w:rsidRPr="00184426" w:rsidRDefault="00F63AC6" w:rsidP="00F63AC6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84426">
        <w:rPr>
          <w:rFonts w:asciiTheme="majorBidi" w:hAnsiTheme="majorBidi" w:cstheme="majorBidi"/>
          <w:sz w:val="24"/>
          <w:szCs w:val="24"/>
        </w:rPr>
        <w:t>Selected Articles, books chapters</w:t>
      </w:r>
    </w:p>
    <w:p w:rsidR="00A84A9F" w:rsidRPr="00184426" w:rsidRDefault="00A84A9F" w:rsidP="00A84A9F">
      <w:pPr>
        <w:spacing w:line="480" w:lineRule="auto"/>
        <w:ind w:left="72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84426">
        <w:rPr>
          <w:rFonts w:asciiTheme="majorBidi" w:hAnsiTheme="majorBidi" w:cstheme="majorBidi"/>
          <w:b/>
          <w:sz w:val="24"/>
          <w:szCs w:val="24"/>
          <w:u w:val="single"/>
        </w:rPr>
        <w:t xml:space="preserve">Calendar of Course contents to be covered during semester  </w:t>
      </w:r>
    </w:p>
    <w:p w:rsidR="006C329B" w:rsidRPr="00184426" w:rsidRDefault="00A84A9F" w:rsidP="001605F5">
      <w:p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184426">
        <w:rPr>
          <w:rFonts w:asciiTheme="majorBidi" w:hAnsiTheme="majorBidi" w:cstheme="majorBidi"/>
          <w:b/>
          <w:sz w:val="24"/>
          <w:szCs w:val="24"/>
        </w:rPr>
        <w:t>Course code……………………………......</w:t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</w:r>
      <w:r w:rsidRPr="00184426">
        <w:rPr>
          <w:rFonts w:asciiTheme="majorBidi" w:hAnsiTheme="majorBidi" w:cstheme="majorBidi"/>
          <w:b/>
          <w:sz w:val="24"/>
          <w:szCs w:val="24"/>
        </w:rPr>
        <w:tab/>
        <w:t>Course title………………………………………</w:t>
      </w:r>
    </w:p>
    <w:tbl>
      <w:tblPr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766"/>
        <w:gridCol w:w="3711"/>
      </w:tblGrid>
      <w:tr w:rsidR="008428F1" w:rsidRPr="00184426" w:rsidTr="006C329B">
        <w:trPr>
          <w:trHeight w:val="240"/>
        </w:trPr>
        <w:tc>
          <w:tcPr>
            <w:tcW w:w="575" w:type="pct"/>
          </w:tcPr>
          <w:p w:rsidR="00DA76E8" w:rsidRPr="00184426" w:rsidRDefault="00DA76E8" w:rsidP="006C329B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DA76E8" w:rsidRPr="00184426" w:rsidRDefault="00DA76E8" w:rsidP="006C329B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Week</w:t>
            </w:r>
          </w:p>
        </w:tc>
        <w:tc>
          <w:tcPr>
            <w:tcW w:w="2487" w:type="pct"/>
          </w:tcPr>
          <w:p w:rsidR="00DA76E8" w:rsidRPr="00184426" w:rsidRDefault="00DA76E8" w:rsidP="006C329B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DA76E8" w:rsidRPr="00184426" w:rsidRDefault="00DA76E8" w:rsidP="006C329B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                     Course Contents                                                                 </w:t>
            </w:r>
          </w:p>
          <w:p w:rsidR="00DA76E8" w:rsidRPr="00184426" w:rsidRDefault="00DA76E8" w:rsidP="006C329B">
            <w:pPr>
              <w:tabs>
                <w:tab w:val="left" w:pos="1065"/>
              </w:tabs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</w:p>
        </w:tc>
        <w:tc>
          <w:tcPr>
            <w:tcW w:w="1937" w:type="pct"/>
          </w:tcPr>
          <w:p w:rsidR="00DA76E8" w:rsidRPr="00184426" w:rsidRDefault="00DA76E8" w:rsidP="006C329B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DA76E8" w:rsidRPr="00184426" w:rsidRDefault="00DA76E8" w:rsidP="006C329B">
            <w:pPr>
              <w:spacing w:after="0" w:line="240" w:lineRule="auto"/>
              <w:ind w:left="-8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8442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Reference </w:t>
            </w:r>
          </w:p>
        </w:tc>
      </w:tr>
      <w:tr w:rsidR="008428F1" w:rsidRPr="00184426" w:rsidTr="00A12859">
        <w:trPr>
          <w:trHeight w:val="555"/>
        </w:trPr>
        <w:tc>
          <w:tcPr>
            <w:tcW w:w="575" w:type="pct"/>
          </w:tcPr>
          <w:p w:rsidR="00FC4377" w:rsidRPr="006C329B" w:rsidRDefault="00FC4377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76E8" w:rsidRPr="006C329B" w:rsidRDefault="00FC4377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87" w:type="pct"/>
          </w:tcPr>
          <w:p w:rsidR="00DA76E8" w:rsidRPr="006C329B" w:rsidRDefault="000A7584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Introduction to Teacher</w:t>
            </w:r>
            <w:r w:rsidR="00482761"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 education: Definition, objectives/purpose and scope</w:t>
            </w:r>
            <w:r w:rsidR="00BD5CAB"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482761" w:rsidRPr="006C329B">
              <w:rPr>
                <w:rFonts w:asciiTheme="majorBidi" w:hAnsiTheme="majorBidi" w:cstheme="majorBidi"/>
                <w:sz w:val="24"/>
                <w:szCs w:val="24"/>
              </w:rPr>
              <w:t>domains/ elements</w:t>
            </w: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 of teacher education</w:t>
            </w:r>
          </w:p>
        </w:tc>
        <w:tc>
          <w:tcPr>
            <w:tcW w:w="1937" w:type="pct"/>
          </w:tcPr>
          <w:p w:rsidR="00DA76E8" w:rsidRPr="006C329B" w:rsidRDefault="00513914" w:rsidP="006C329B">
            <w:pPr>
              <w:pStyle w:val="BodyText"/>
              <w:ind w:right="6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329B">
              <w:rPr>
                <w:rFonts w:asciiTheme="majorBidi" w:hAnsiTheme="majorBidi" w:cstheme="majorBidi"/>
                <w:sz w:val="24"/>
                <w:szCs w:val="24"/>
              </w:rPr>
              <w:t>Chaube</w:t>
            </w:r>
            <w:proofErr w:type="gramStart"/>
            <w:r w:rsidRPr="006C329B">
              <w:rPr>
                <w:rFonts w:asciiTheme="majorBidi" w:hAnsiTheme="majorBidi" w:cstheme="majorBidi"/>
                <w:sz w:val="24"/>
                <w:szCs w:val="24"/>
              </w:rPr>
              <w:t>,P.S</w:t>
            </w:r>
            <w:proofErr w:type="spellEnd"/>
            <w:proofErr w:type="gramEnd"/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="00E04684" w:rsidRPr="006C329B">
              <w:rPr>
                <w:rFonts w:asciiTheme="majorBidi" w:hAnsiTheme="majorBidi" w:cstheme="majorBidi"/>
                <w:sz w:val="24"/>
                <w:szCs w:val="24"/>
              </w:rPr>
              <w:t>Chaube</w:t>
            </w:r>
            <w:proofErr w:type="spellEnd"/>
            <w:r w:rsidR="00E04684" w:rsidRPr="006C329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04684" w:rsidRPr="006C329B"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04684" w:rsidRPr="006C329B">
              <w:rPr>
                <w:rFonts w:asciiTheme="majorBidi" w:hAnsiTheme="majorBidi" w:cstheme="majorBidi"/>
                <w:sz w:val="24"/>
                <w:szCs w:val="24"/>
              </w:rPr>
              <w:t>(2003).</w:t>
            </w:r>
          </w:p>
        </w:tc>
      </w:tr>
      <w:tr w:rsidR="008428F1" w:rsidRPr="00184426" w:rsidTr="006C329B">
        <w:trPr>
          <w:trHeight w:val="600"/>
        </w:trPr>
        <w:tc>
          <w:tcPr>
            <w:tcW w:w="575" w:type="pct"/>
          </w:tcPr>
          <w:p w:rsidR="00513914" w:rsidRPr="006C329B" w:rsidRDefault="003A6FFA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87" w:type="pct"/>
          </w:tcPr>
          <w:p w:rsidR="00513914" w:rsidRPr="006C329B" w:rsidRDefault="00513914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Meaning, Scope and History of Teacher Education (Focus on Subcontinent and West)</w:t>
            </w:r>
          </w:p>
        </w:tc>
        <w:tc>
          <w:tcPr>
            <w:tcW w:w="1937" w:type="pct"/>
          </w:tcPr>
          <w:p w:rsidR="00513914" w:rsidRPr="006C329B" w:rsidRDefault="00513914" w:rsidP="006C329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329B">
              <w:rPr>
                <w:rFonts w:asciiTheme="majorBidi" w:hAnsiTheme="majorBidi" w:cstheme="majorBidi"/>
                <w:sz w:val="24"/>
                <w:szCs w:val="24"/>
              </w:rPr>
              <w:t>Chaube,P.S</w:t>
            </w:r>
            <w:proofErr w:type="spellEnd"/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6C329B">
              <w:rPr>
                <w:rFonts w:asciiTheme="majorBidi" w:hAnsiTheme="majorBidi" w:cstheme="majorBidi"/>
                <w:sz w:val="24"/>
                <w:szCs w:val="24"/>
              </w:rPr>
              <w:t>Chaube,A</w:t>
            </w:r>
            <w:proofErr w:type="spellEnd"/>
          </w:p>
        </w:tc>
      </w:tr>
      <w:tr w:rsidR="008428F1" w:rsidRPr="00184426" w:rsidTr="00A12859">
        <w:trPr>
          <w:trHeight w:val="510"/>
        </w:trPr>
        <w:tc>
          <w:tcPr>
            <w:tcW w:w="575" w:type="pct"/>
          </w:tcPr>
          <w:p w:rsidR="0009332B" w:rsidRPr="006C329B" w:rsidRDefault="003A6FFA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87" w:type="pct"/>
          </w:tcPr>
          <w:p w:rsidR="0009332B" w:rsidRPr="006C329B" w:rsidRDefault="0009332B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Teacher education in Pakistan (Past, MDGs, SDGs, EFA,NEPs)</w:t>
            </w:r>
          </w:p>
        </w:tc>
        <w:tc>
          <w:tcPr>
            <w:tcW w:w="1937" w:type="pct"/>
          </w:tcPr>
          <w:p w:rsidR="0009332B" w:rsidRPr="006C329B" w:rsidRDefault="0009332B" w:rsidP="006C329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Guest Speaker</w:t>
            </w:r>
          </w:p>
          <w:p w:rsidR="0009332B" w:rsidRPr="006C329B" w:rsidRDefault="0009332B" w:rsidP="00A128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Education Policies and ESR </w:t>
            </w:r>
          </w:p>
        </w:tc>
      </w:tr>
      <w:tr w:rsidR="008428F1" w:rsidRPr="00184426" w:rsidTr="006C329B">
        <w:trPr>
          <w:trHeight w:val="1590"/>
        </w:trPr>
        <w:tc>
          <w:tcPr>
            <w:tcW w:w="575" w:type="pct"/>
          </w:tcPr>
          <w:p w:rsidR="00FC4377" w:rsidRPr="006C329B" w:rsidRDefault="00FC4377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4377" w:rsidRPr="006C329B" w:rsidRDefault="00FC4377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76E8" w:rsidRPr="006C329B" w:rsidRDefault="003A6FFA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87" w:type="pct"/>
          </w:tcPr>
          <w:p w:rsidR="00DA76E8" w:rsidRPr="006C329B" w:rsidRDefault="0008760B" w:rsidP="006C329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Understanding Teaching in the  era of globalization </w:t>
            </w:r>
          </w:p>
        </w:tc>
        <w:tc>
          <w:tcPr>
            <w:tcW w:w="1937" w:type="pct"/>
          </w:tcPr>
          <w:p w:rsidR="00E04684" w:rsidRPr="006C329B" w:rsidRDefault="00E04684" w:rsidP="006C329B">
            <w:pPr>
              <w:pStyle w:val="BodyText"/>
              <w:ind w:right="730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Stephen Carney, J. </w:t>
            </w:r>
            <w:proofErr w:type="spellStart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Rappleye</w:t>
            </w:r>
            <w:proofErr w:type="spellEnd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, and I. </w:t>
            </w:r>
            <w:proofErr w:type="spellStart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Silova</w:t>
            </w:r>
            <w:proofErr w:type="spellEnd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. (2012).</w:t>
            </w:r>
            <w:r w:rsidRPr="006C329B">
              <w:rPr>
                <w:rFonts w:asciiTheme="majorBidi" w:hAnsiTheme="majorBidi" w:cstheme="majorBidi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DA76E8" w:rsidRPr="006C329B" w:rsidRDefault="00E04684" w:rsidP="006C329B">
            <w:pPr>
              <w:spacing w:after="0" w:line="240" w:lineRule="auto"/>
              <w:rPr>
                <w:rFonts w:asciiTheme="majorBidi" w:hAnsiTheme="majorBidi" w:cstheme="majorBidi"/>
                <w:w w:val="105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Thomas Clayton. (2004)</w:t>
            </w:r>
          </w:p>
          <w:p w:rsidR="00CF0405" w:rsidRPr="006C329B" w:rsidRDefault="00CF0405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329B">
              <w:rPr>
                <w:rFonts w:asciiTheme="majorBidi" w:hAnsiTheme="majorBidi" w:cstheme="majorBidi"/>
                <w:sz w:val="24"/>
                <w:szCs w:val="24"/>
              </w:rPr>
              <w:t>Mugo</w:t>
            </w:r>
            <w:proofErr w:type="spellEnd"/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, P. and </w:t>
            </w:r>
            <w:proofErr w:type="spellStart"/>
            <w:r w:rsidRPr="006C329B">
              <w:rPr>
                <w:rFonts w:asciiTheme="majorBidi" w:hAnsiTheme="majorBidi" w:cstheme="majorBidi"/>
                <w:sz w:val="24"/>
                <w:szCs w:val="24"/>
              </w:rPr>
              <w:t>Wolhuter</w:t>
            </w:r>
            <w:proofErr w:type="spellEnd"/>
            <w:r w:rsidRPr="006C329B">
              <w:rPr>
                <w:rFonts w:asciiTheme="majorBidi" w:hAnsiTheme="majorBidi" w:cstheme="majorBidi"/>
                <w:sz w:val="24"/>
                <w:szCs w:val="24"/>
              </w:rPr>
              <w:t>, C.C. (2013)</w:t>
            </w:r>
          </w:p>
        </w:tc>
      </w:tr>
      <w:tr w:rsidR="008428F1" w:rsidRPr="00184426" w:rsidTr="006C329B">
        <w:trPr>
          <w:trHeight w:val="267"/>
        </w:trPr>
        <w:tc>
          <w:tcPr>
            <w:tcW w:w="575" w:type="pct"/>
          </w:tcPr>
          <w:p w:rsidR="00DA76E8" w:rsidRPr="006C329B" w:rsidRDefault="003A6FFA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487" w:type="pct"/>
          </w:tcPr>
          <w:p w:rsidR="008A7443" w:rsidRPr="006C329B" w:rsidRDefault="006B107F" w:rsidP="006C329B">
            <w:pPr>
              <w:spacing w:after="0" w:line="240" w:lineRule="auto"/>
              <w:rPr>
                <w:rFonts w:asciiTheme="majorBidi" w:hAnsiTheme="majorBidi" w:cstheme="majorBidi"/>
                <w:w w:val="105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Teaching</w:t>
            </w:r>
            <w:r w:rsidRPr="006C329B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as</w:t>
            </w:r>
            <w:r w:rsidRPr="006C329B">
              <w:rPr>
                <w:rFonts w:asciiTheme="majorBidi" w:hAnsiTheme="majorBidi" w:cstheme="majorBidi"/>
                <w:spacing w:val="3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global</w:t>
            </w:r>
            <w:r w:rsidRPr="006C329B">
              <w:rPr>
                <w:rFonts w:asciiTheme="majorBidi" w:hAnsiTheme="majorBidi" w:cstheme="majorBidi"/>
                <w:spacing w:val="3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and/or</w:t>
            </w:r>
            <w:r w:rsidRPr="006C329B">
              <w:rPr>
                <w:rFonts w:asciiTheme="majorBidi" w:hAnsiTheme="majorBidi" w:cstheme="majorBidi"/>
                <w:spacing w:val="3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local:</w:t>
            </w:r>
            <w:r w:rsidRPr="006C329B">
              <w:rPr>
                <w:rFonts w:asciiTheme="majorBidi" w:hAnsiTheme="majorBidi" w:cstheme="majorBidi"/>
                <w:spacing w:val="2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policy</w:t>
            </w:r>
            <w:r w:rsidRPr="006C329B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and</w:t>
            </w:r>
            <w:r w:rsidRPr="006C329B">
              <w:rPr>
                <w:rFonts w:asciiTheme="majorBidi" w:hAnsiTheme="majorBidi" w:cstheme="majorBidi"/>
                <w:spacing w:val="4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practice</w:t>
            </w:r>
          </w:p>
        </w:tc>
        <w:tc>
          <w:tcPr>
            <w:tcW w:w="1937" w:type="pct"/>
          </w:tcPr>
          <w:p w:rsidR="008428F1" w:rsidRPr="006C329B" w:rsidRDefault="008843A5" w:rsidP="006C329B">
            <w:pPr>
              <w:spacing w:after="0" w:line="240" w:lineRule="auto"/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Kathryn Anderson-Levit. (2003). </w:t>
            </w:r>
          </w:p>
          <w:p w:rsidR="00DA76E8" w:rsidRPr="006C329B" w:rsidRDefault="008A7443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Education policies Pakistan</w:t>
            </w:r>
          </w:p>
        </w:tc>
      </w:tr>
      <w:tr w:rsidR="008428F1" w:rsidRPr="00184426" w:rsidTr="00A12859">
        <w:trPr>
          <w:trHeight w:val="1257"/>
        </w:trPr>
        <w:tc>
          <w:tcPr>
            <w:tcW w:w="575" w:type="pct"/>
          </w:tcPr>
          <w:p w:rsidR="00FC4377" w:rsidRPr="006C329B" w:rsidRDefault="00FC4377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4377" w:rsidRPr="006C329B" w:rsidRDefault="00FC4377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76E8" w:rsidRPr="006C329B" w:rsidRDefault="003A6FFA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487" w:type="pct"/>
          </w:tcPr>
          <w:p w:rsidR="00DA76E8" w:rsidRPr="006C329B" w:rsidRDefault="00434DBD" w:rsidP="006C329B">
            <w:pPr>
              <w:pStyle w:val="BodyText"/>
              <w:spacing w:before="167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Comparing</w:t>
            </w:r>
            <w:r w:rsidRPr="006C329B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and</w:t>
            </w:r>
            <w:r w:rsidRPr="006C329B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making sense</w:t>
            </w:r>
            <w:r w:rsidRPr="006C329B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of</w:t>
            </w:r>
            <w:r w:rsidRPr="006C329B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pedagogies</w:t>
            </w:r>
            <w:r w:rsidRPr="006C329B">
              <w:rPr>
                <w:rFonts w:asciiTheme="majorBidi" w:hAnsiTheme="majorBidi" w:cstheme="majorBidi"/>
                <w:spacing w:val="-2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and</w:t>
            </w:r>
            <w:r w:rsidRPr="006C329B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their</w:t>
            </w:r>
            <w:r w:rsidRPr="006C329B">
              <w:rPr>
                <w:rFonts w:asciiTheme="majorBidi" w:hAnsiTheme="majorBidi" w:cstheme="majorBidi"/>
                <w:spacing w:val="-1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reform</w:t>
            </w:r>
          </w:p>
        </w:tc>
        <w:tc>
          <w:tcPr>
            <w:tcW w:w="1937" w:type="pct"/>
          </w:tcPr>
          <w:p w:rsidR="00C85AB3" w:rsidRPr="006C329B" w:rsidRDefault="00C85AB3" w:rsidP="006C329B">
            <w:pPr>
              <w:spacing w:after="0" w:line="240" w:lineRule="auto"/>
              <w:ind w:right="801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Paine and </w:t>
            </w:r>
            <w:proofErr w:type="spellStart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Zeichner</w:t>
            </w:r>
            <w:proofErr w:type="spellEnd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 (2012). </w:t>
            </w:r>
          </w:p>
          <w:p w:rsidR="00C85AB3" w:rsidRPr="006C329B" w:rsidRDefault="00C85AB3" w:rsidP="006C329B">
            <w:pPr>
              <w:pStyle w:val="BodyText"/>
              <w:ind w:right="8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Vavrus</w:t>
            </w:r>
            <w:proofErr w:type="spellEnd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, F. and Bartlett, L. (2012). </w:t>
            </w:r>
          </w:p>
          <w:p w:rsidR="00DA76E8" w:rsidRPr="006C329B" w:rsidRDefault="00C85AB3" w:rsidP="006C329B">
            <w:pPr>
              <w:pStyle w:val="BodyText"/>
              <w:ind w:right="8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Gardinier</w:t>
            </w:r>
            <w:proofErr w:type="spellEnd"/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, M. P. (2012). </w:t>
            </w:r>
          </w:p>
        </w:tc>
      </w:tr>
      <w:tr w:rsidR="008428F1" w:rsidRPr="00184426" w:rsidTr="00A12859">
        <w:trPr>
          <w:trHeight w:val="573"/>
        </w:trPr>
        <w:tc>
          <w:tcPr>
            <w:tcW w:w="575" w:type="pct"/>
          </w:tcPr>
          <w:p w:rsidR="00DA76E8" w:rsidRPr="006C329B" w:rsidRDefault="003A6FFA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487" w:type="pct"/>
          </w:tcPr>
          <w:p w:rsidR="00DA76E8" w:rsidRPr="006C329B" w:rsidRDefault="00E2785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Quality of Teacher Education : Teacher Licensing </w:t>
            </w:r>
            <w:r w:rsidR="00EC12C4"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accreditation </w:t>
            </w:r>
            <w:r w:rsidR="00EC12C4"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bodies </w:t>
            </w:r>
          </w:p>
        </w:tc>
        <w:tc>
          <w:tcPr>
            <w:tcW w:w="1937" w:type="pct"/>
          </w:tcPr>
          <w:p w:rsidR="00DA76E8" w:rsidRPr="006C329B" w:rsidRDefault="00EC12C4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National Professional Standards for Teachers of different countries </w:t>
            </w:r>
          </w:p>
        </w:tc>
      </w:tr>
      <w:tr w:rsidR="008428F1" w:rsidRPr="00184426" w:rsidTr="00A12859">
        <w:trPr>
          <w:trHeight w:val="50"/>
        </w:trPr>
        <w:tc>
          <w:tcPr>
            <w:tcW w:w="575" w:type="pct"/>
          </w:tcPr>
          <w:p w:rsidR="00DA76E8" w:rsidRPr="006C329B" w:rsidRDefault="00482F60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487" w:type="pct"/>
          </w:tcPr>
          <w:p w:rsidR="00DA76E8" w:rsidRPr="006C329B" w:rsidRDefault="001147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global perspectives of Teacher Education </w:t>
            </w:r>
          </w:p>
        </w:tc>
        <w:tc>
          <w:tcPr>
            <w:tcW w:w="1937" w:type="pct"/>
          </w:tcPr>
          <w:p w:rsidR="00DA76E8" w:rsidRPr="006C329B" w:rsidRDefault="00114720" w:rsidP="00A1285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Kiyoko </w:t>
            </w:r>
            <w:proofErr w:type="spellStart"/>
            <w:r w:rsidRPr="006C329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Uematsu-Ervast</w:t>
            </w:r>
            <w:proofErr w:type="spellEnd"/>
            <w:r w:rsidRPr="006C329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(2019)</w:t>
            </w:r>
          </w:p>
        </w:tc>
      </w:tr>
      <w:tr w:rsidR="008428F1" w:rsidRPr="00184426" w:rsidTr="006C329B">
        <w:trPr>
          <w:trHeight w:val="510"/>
        </w:trPr>
        <w:tc>
          <w:tcPr>
            <w:tcW w:w="575" w:type="pct"/>
          </w:tcPr>
          <w:p w:rsidR="00DA76E8" w:rsidRPr="006C329B" w:rsidRDefault="00482F60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487" w:type="pct"/>
          </w:tcPr>
          <w:p w:rsidR="00DA76E8" w:rsidRPr="006C329B" w:rsidRDefault="00114720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Teacher Education Models</w:t>
            </w:r>
          </w:p>
        </w:tc>
        <w:tc>
          <w:tcPr>
            <w:tcW w:w="1937" w:type="pct"/>
          </w:tcPr>
          <w:p w:rsidR="00DA76E8" w:rsidRPr="006C329B" w:rsidRDefault="008428F1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Robinson, M., &amp; </w:t>
            </w:r>
            <w:proofErr w:type="spellStart"/>
            <w:r w:rsidRPr="006C329B">
              <w:rPr>
                <w:rFonts w:asciiTheme="majorBidi" w:hAnsiTheme="majorBidi" w:cstheme="majorBidi"/>
                <w:sz w:val="24"/>
                <w:szCs w:val="24"/>
              </w:rPr>
              <w:t>Mogliacci</w:t>
            </w:r>
            <w:proofErr w:type="spellEnd"/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, R.  Conceptions and Models of Teacher Education. </w:t>
            </w:r>
          </w:p>
        </w:tc>
      </w:tr>
      <w:tr w:rsidR="008428F1" w:rsidRPr="00184426" w:rsidTr="006C329B">
        <w:trPr>
          <w:trHeight w:val="375"/>
        </w:trPr>
        <w:tc>
          <w:tcPr>
            <w:tcW w:w="575" w:type="pct"/>
          </w:tcPr>
          <w:p w:rsidR="00DA76E8" w:rsidRPr="006C329B" w:rsidRDefault="00482F60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487" w:type="pct"/>
          </w:tcPr>
          <w:p w:rsidR="00DA76E8" w:rsidRPr="006C329B" w:rsidRDefault="00D66DB5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Post COVID Teacher education curriculum : suggestions and expectations </w:t>
            </w:r>
          </w:p>
        </w:tc>
        <w:tc>
          <w:tcPr>
            <w:tcW w:w="1937" w:type="pct"/>
          </w:tcPr>
          <w:p w:rsidR="00DA76E8" w:rsidRPr="006C329B" w:rsidRDefault="00D66DB5" w:rsidP="006C32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Guest speaker </w:t>
            </w:r>
          </w:p>
        </w:tc>
      </w:tr>
      <w:tr w:rsidR="008428F1" w:rsidRPr="00184426" w:rsidTr="006C329B">
        <w:trPr>
          <w:trHeight w:val="330"/>
        </w:trPr>
        <w:tc>
          <w:tcPr>
            <w:tcW w:w="575" w:type="pct"/>
          </w:tcPr>
          <w:p w:rsidR="00DA76E8" w:rsidRPr="006C329B" w:rsidRDefault="000167BC" w:rsidP="006C3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487" w:type="pct"/>
          </w:tcPr>
          <w:p w:rsidR="00DA76E8" w:rsidRPr="006C329B" w:rsidRDefault="00AB074E" w:rsidP="006C329B">
            <w:pPr>
              <w:pStyle w:val="BodyText"/>
              <w:ind w:left="100" w:right="833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Peripheral vision and other lenses to bring to viewing teaching</w:t>
            </w:r>
            <w:r w:rsidRPr="006C329B">
              <w:rPr>
                <w:rFonts w:asciiTheme="majorBidi" w:hAnsiTheme="majorBidi" w:cstheme="majorBidi"/>
                <w:spacing w:val="-47"/>
                <w:w w:val="105"/>
                <w:sz w:val="24"/>
                <w:szCs w:val="24"/>
              </w:rPr>
              <w:t xml:space="preserve"> </w:t>
            </w: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>comparatively</w:t>
            </w:r>
          </w:p>
        </w:tc>
        <w:tc>
          <w:tcPr>
            <w:tcW w:w="1937" w:type="pct"/>
          </w:tcPr>
          <w:p w:rsidR="00DA76E8" w:rsidRPr="006C329B" w:rsidRDefault="00AB074E" w:rsidP="006C329B">
            <w:pPr>
              <w:spacing w:before="74" w:line="240" w:lineRule="auto"/>
              <w:rPr>
                <w:rFonts w:asciiTheme="majorBidi" w:hAnsiTheme="majorBidi" w:cstheme="majorBidi"/>
                <w:i/>
                <w:w w:val="105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Kathryn Anderson-Levit. (2003). </w:t>
            </w:r>
          </w:p>
        </w:tc>
      </w:tr>
      <w:tr w:rsidR="00862937" w:rsidRPr="00184426" w:rsidTr="00101E32">
        <w:trPr>
          <w:trHeight w:val="50"/>
        </w:trPr>
        <w:tc>
          <w:tcPr>
            <w:tcW w:w="575" w:type="pct"/>
          </w:tcPr>
          <w:p w:rsidR="00862937" w:rsidRPr="006C329B" w:rsidRDefault="003337AD" w:rsidP="00101E32">
            <w:pPr>
              <w:spacing w:after="0" w:line="72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487" w:type="pct"/>
          </w:tcPr>
          <w:p w:rsidR="00862937" w:rsidRPr="006C329B" w:rsidRDefault="003337AD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Future of Teacher Education </w:t>
            </w:r>
          </w:p>
        </w:tc>
        <w:tc>
          <w:tcPr>
            <w:tcW w:w="1937" w:type="pct"/>
          </w:tcPr>
          <w:p w:rsidR="00862937" w:rsidRPr="006C329B" w:rsidRDefault="003337AD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Guest Speaker </w:t>
            </w:r>
          </w:p>
        </w:tc>
      </w:tr>
      <w:tr w:rsidR="00862937" w:rsidRPr="00184426" w:rsidTr="006C329B">
        <w:trPr>
          <w:trHeight w:val="285"/>
        </w:trPr>
        <w:tc>
          <w:tcPr>
            <w:tcW w:w="575" w:type="pct"/>
          </w:tcPr>
          <w:p w:rsidR="00862937" w:rsidRPr="006C329B" w:rsidRDefault="003337AD" w:rsidP="00101E32">
            <w:pPr>
              <w:spacing w:after="0" w:line="72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487" w:type="pct"/>
          </w:tcPr>
          <w:p w:rsidR="00862937" w:rsidRPr="006C329B" w:rsidRDefault="003337AD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Students’ presentation  </w:t>
            </w:r>
          </w:p>
        </w:tc>
        <w:tc>
          <w:tcPr>
            <w:tcW w:w="1937" w:type="pct"/>
          </w:tcPr>
          <w:p w:rsidR="00862937" w:rsidRPr="006C329B" w:rsidRDefault="003337AD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NA</w:t>
            </w:r>
          </w:p>
        </w:tc>
      </w:tr>
      <w:tr w:rsidR="00862937" w:rsidRPr="00184426" w:rsidTr="00A12859">
        <w:trPr>
          <w:trHeight w:val="50"/>
        </w:trPr>
        <w:tc>
          <w:tcPr>
            <w:tcW w:w="575" w:type="pct"/>
          </w:tcPr>
          <w:p w:rsidR="00862937" w:rsidRPr="006C329B" w:rsidRDefault="003337AD" w:rsidP="00101E32">
            <w:pPr>
              <w:spacing w:after="0" w:line="72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487" w:type="pct"/>
          </w:tcPr>
          <w:p w:rsidR="00862937" w:rsidRPr="006C329B" w:rsidRDefault="003337AD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Students’ presentation  </w:t>
            </w:r>
          </w:p>
        </w:tc>
        <w:tc>
          <w:tcPr>
            <w:tcW w:w="1937" w:type="pct"/>
          </w:tcPr>
          <w:p w:rsidR="00862937" w:rsidRPr="006C329B" w:rsidRDefault="003337AD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NA</w:t>
            </w:r>
          </w:p>
        </w:tc>
      </w:tr>
      <w:tr w:rsidR="00862937" w:rsidRPr="00184426" w:rsidTr="00A12859">
        <w:trPr>
          <w:trHeight w:val="150"/>
        </w:trPr>
        <w:tc>
          <w:tcPr>
            <w:tcW w:w="575" w:type="pct"/>
          </w:tcPr>
          <w:p w:rsidR="00862937" w:rsidRPr="006C329B" w:rsidRDefault="003337AD" w:rsidP="00101E32">
            <w:pPr>
              <w:spacing w:after="0" w:line="72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487" w:type="pct"/>
          </w:tcPr>
          <w:p w:rsidR="00862937" w:rsidRPr="006C329B" w:rsidRDefault="003337AD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Students’ presentation  </w:t>
            </w:r>
          </w:p>
        </w:tc>
        <w:tc>
          <w:tcPr>
            <w:tcW w:w="1937" w:type="pct"/>
          </w:tcPr>
          <w:p w:rsidR="00862937" w:rsidRPr="006C329B" w:rsidRDefault="003337AD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NA</w:t>
            </w:r>
          </w:p>
        </w:tc>
      </w:tr>
      <w:tr w:rsidR="00862937" w:rsidRPr="00184426" w:rsidTr="00A12859">
        <w:trPr>
          <w:trHeight w:val="50"/>
        </w:trPr>
        <w:tc>
          <w:tcPr>
            <w:tcW w:w="575" w:type="pct"/>
          </w:tcPr>
          <w:p w:rsidR="00862937" w:rsidRPr="006C329B" w:rsidRDefault="003337AD" w:rsidP="00101E32">
            <w:pPr>
              <w:spacing w:after="0" w:line="72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487" w:type="pct"/>
          </w:tcPr>
          <w:p w:rsidR="00862937" w:rsidRPr="006C329B" w:rsidRDefault="003337AD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329B">
              <w:rPr>
                <w:rFonts w:asciiTheme="majorBidi" w:hAnsiTheme="majorBidi" w:cstheme="majorBidi"/>
                <w:sz w:val="24"/>
                <w:szCs w:val="24"/>
              </w:rPr>
              <w:t xml:space="preserve">Recap and review </w:t>
            </w:r>
          </w:p>
        </w:tc>
        <w:tc>
          <w:tcPr>
            <w:tcW w:w="1937" w:type="pct"/>
          </w:tcPr>
          <w:p w:rsidR="00862937" w:rsidRPr="006C329B" w:rsidRDefault="00862937" w:rsidP="00101E32">
            <w:pPr>
              <w:spacing w:after="0" w:line="72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C4377" w:rsidRPr="00184426" w:rsidRDefault="00FC4377" w:rsidP="00101E32">
      <w:pPr>
        <w:tabs>
          <w:tab w:val="left" w:pos="3375"/>
        </w:tabs>
        <w:spacing w:line="720" w:lineRule="auto"/>
        <w:rPr>
          <w:rFonts w:asciiTheme="majorBidi" w:hAnsiTheme="majorBidi" w:cstheme="majorBidi"/>
          <w:sz w:val="24"/>
          <w:szCs w:val="24"/>
        </w:rPr>
      </w:pPr>
    </w:p>
    <w:sectPr w:rsidR="00FC4377" w:rsidRPr="00184426" w:rsidSect="00CD5ED7">
      <w:footerReference w:type="default" r:id="rId8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9D" w:rsidRDefault="009A479D" w:rsidP="00C43620">
      <w:pPr>
        <w:spacing w:after="0" w:line="240" w:lineRule="auto"/>
      </w:pPr>
      <w:r>
        <w:separator/>
      </w:r>
    </w:p>
  </w:endnote>
  <w:endnote w:type="continuationSeparator" w:id="0">
    <w:p w:rsidR="009A479D" w:rsidRDefault="009A479D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nte MT Regular">
    <w:altName w:val="Dante MT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F5" w:rsidRDefault="00EB16F5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 w:rsidR="00330137">
      <w:tab/>
    </w:r>
    <w:r>
      <w:t xml:space="preserve">Page </w:t>
    </w:r>
    <w:r w:rsidR="004D54A2">
      <w:fldChar w:fldCharType="begin"/>
    </w:r>
    <w:r w:rsidR="004D54A2">
      <w:instrText xml:space="preserve"> PAGE   \* MERGEFORMAT </w:instrText>
    </w:r>
    <w:r w:rsidR="004D54A2">
      <w:fldChar w:fldCharType="separate"/>
    </w:r>
    <w:r w:rsidR="00101E32">
      <w:rPr>
        <w:noProof/>
      </w:rPr>
      <w:t>4</w:t>
    </w:r>
    <w:r w:rsidR="004D54A2">
      <w:rPr>
        <w:noProof/>
      </w:rPr>
      <w:fldChar w:fldCharType="end"/>
    </w:r>
  </w:p>
  <w:p w:rsidR="00C43620" w:rsidRPr="00EB16F5" w:rsidRDefault="00C43620" w:rsidP="00EB16F5">
    <w:pPr>
      <w:pStyle w:val="Footer"/>
    </w:pPr>
  </w:p>
  <w:p w:rsidR="00B44158" w:rsidRDefault="00B44158"/>
  <w:p w:rsidR="00B44158" w:rsidRDefault="00B441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9D" w:rsidRDefault="009A479D" w:rsidP="00C43620">
      <w:pPr>
        <w:spacing w:after="0" w:line="240" w:lineRule="auto"/>
      </w:pPr>
      <w:r>
        <w:separator/>
      </w:r>
    </w:p>
  </w:footnote>
  <w:footnote w:type="continuationSeparator" w:id="0">
    <w:p w:rsidR="009A479D" w:rsidRDefault="009A479D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E9E"/>
    <w:multiLevelType w:val="hybridMultilevel"/>
    <w:tmpl w:val="AF5868CA"/>
    <w:lvl w:ilvl="0" w:tplc="9C445684">
      <w:start w:val="1"/>
      <w:numFmt w:val="upperRoman"/>
      <w:lvlText w:val="%1."/>
      <w:lvlJc w:val="left"/>
      <w:pPr>
        <w:ind w:left="327" w:hanging="228"/>
      </w:pPr>
      <w:rPr>
        <w:rFonts w:ascii="Palatino Linotype" w:eastAsia="Palatino Linotype" w:hAnsi="Palatino Linotype" w:cs="Palatino Linotype" w:hint="default"/>
        <w:b/>
        <w:bCs/>
        <w:spacing w:val="0"/>
        <w:w w:val="103"/>
        <w:sz w:val="19"/>
        <w:szCs w:val="19"/>
        <w:lang w:val="en-US" w:eastAsia="en-US" w:bidi="ar-SA"/>
      </w:rPr>
    </w:lvl>
    <w:lvl w:ilvl="1" w:tplc="62B42C9C">
      <w:numFmt w:val="bullet"/>
      <w:lvlText w:val="•"/>
      <w:lvlJc w:val="left"/>
      <w:pPr>
        <w:ind w:left="1540" w:hanging="228"/>
      </w:pPr>
      <w:rPr>
        <w:rFonts w:hint="default"/>
        <w:lang w:val="en-US" w:eastAsia="en-US" w:bidi="ar-SA"/>
      </w:rPr>
    </w:lvl>
    <w:lvl w:ilvl="2" w:tplc="A6AA47B8">
      <w:numFmt w:val="bullet"/>
      <w:lvlText w:val="•"/>
      <w:lvlJc w:val="left"/>
      <w:pPr>
        <w:ind w:left="2388" w:hanging="228"/>
      </w:pPr>
      <w:rPr>
        <w:rFonts w:hint="default"/>
        <w:lang w:val="en-US" w:eastAsia="en-US" w:bidi="ar-SA"/>
      </w:rPr>
    </w:lvl>
    <w:lvl w:ilvl="3" w:tplc="C90C5C80">
      <w:numFmt w:val="bullet"/>
      <w:lvlText w:val="•"/>
      <w:lvlJc w:val="left"/>
      <w:pPr>
        <w:ind w:left="3237" w:hanging="228"/>
      </w:pPr>
      <w:rPr>
        <w:rFonts w:hint="default"/>
        <w:lang w:val="en-US" w:eastAsia="en-US" w:bidi="ar-SA"/>
      </w:rPr>
    </w:lvl>
    <w:lvl w:ilvl="4" w:tplc="1C24EA0A">
      <w:numFmt w:val="bullet"/>
      <w:lvlText w:val="•"/>
      <w:lvlJc w:val="left"/>
      <w:pPr>
        <w:ind w:left="4086" w:hanging="228"/>
      </w:pPr>
      <w:rPr>
        <w:rFonts w:hint="default"/>
        <w:lang w:val="en-US" w:eastAsia="en-US" w:bidi="ar-SA"/>
      </w:rPr>
    </w:lvl>
    <w:lvl w:ilvl="5" w:tplc="4232F000">
      <w:numFmt w:val="bullet"/>
      <w:lvlText w:val="•"/>
      <w:lvlJc w:val="left"/>
      <w:pPr>
        <w:ind w:left="4935" w:hanging="228"/>
      </w:pPr>
      <w:rPr>
        <w:rFonts w:hint="default"/>
        <w:lang w:val="en-US" w:eastAsia="en-US" w:bidi="ar-SA"/>
      </w:rPr>
    </w:lvl>
    <w:lvl w:ilvl="6" w:tplc="E80E16E8">
      <w:numFmt w:val="bullet"/>
      <w:lvlText w:val="•"/>
      <w:lvlJc w:val="left"/>
      <w:pPr>
        <w:ind w:left="5784" w:hanging="228"/>
      </w:pPr>
      <w:rPr>
        <w:rFonts w:hint="default"/>
        <w:lang w:val="en-US" w:eastAsia="en-US" w:bidi="ar-SA"/>
      </w:rPr>
    </w:lvl>
    <w:lvl w:ilvl="7" w:tplc="2AF44E18">
      <w:numFmt w:val="bullet"/>
      <w:lvlText w:val="•"/>
      <w:lvlJc w:val="left"/>
      <w:pPr>
        <w:ind w:left="6633" w:hanging="228"/>
      </w:pPr>
      <w:rPr>
        <w:rFonts w:hint="default"/>
        <w:lang w:val="en-US" w:eastAsia="en-US" w:bidi="ar-SA"/>
      </w:rPr>
    </w:lvl>
    <w:lvl w:ilvl="8" w:tplc="7FBA87DE">
      <w:numFmt w:val="bullet"/>
      <w:lvlText w:val="•"/>
      <w:lvlJc w:val="left"/>
      <w:pPr>
        <w:ind w:left="7482" w:hanging="228"/>
      </w:pPr>
      <w:rPr>
        <w:rFonts w:hint="default"/>
        <w:lang w:val="en-US" w:eastAsia="en-US" w:bidi="ar-SA"/>
      </w:rPr>
    </w:lvl>
  </w:abstractNum>
  <w:abstractNum w:abstractNumId="1">
    <w:nsid w:val="145A676B"/>
    <w:multiLevelType w:val="hybridMultilevel"/>
    <w:tmpl w:val="525016A2"/>
    <w:lvl w:ilvl="0" w:tplc="AEA6C9F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90F2F48"/>
    <w:multiLevelType w:val="hybridMultilevel"/>
    <w:tmpl w:val="44C83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D5120"/>
    <w:multiLevelType w:val="multilevel"/>
    <w:tmpl w:val="E044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87BAD"/>
    <w:multiLevelType w:val="hybridMultilevel"/>
    <w:tmpl w:val="F7C4AC7E"/>
    <w:lvl w:ilvl="0" w:tplc="FA6A6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65C59"/>
    <w:multiLevelType w:val="hybridMultilevel"/>
    <w:tmpl w:val="525016A2"/>
    <w:lvl w:ilvl="0" w:tplc="AEA6C9F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340500D"/>
    <w:multiLevelType w:val="hybridMultilevel"/>
    <w:tmpl w:val="525016A2"/>
    <w:lvl w:ilvl="0" w:tplc="AEA6C9F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89006F4"/>
    <w:multiLevelType w:val="hybridMultilevel"/>
    <w:tmpl w:val="E6F282D0"/>
    <w:lvl w:ilvl="0" w:tplc="D79AC0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3"/>
        <w:sz w:val="19"/>
        <w:szCs w:val="19"/>
        <w:lang w:val="en-US" w:eastAsia="en-US" w:bidi="ar-SA"/>
      </w:rPr>
    </w:lvl>
    <w:lvl w:ilvl="1" w:tplc="D8C0C7F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5FE3E7A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5B125D8C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4AFE8ABA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7AF2FF5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486481F6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462EBA8C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473EA7C0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8">
    <w:nsid w:val="7926042D"/>
    <w:multiLevelType w:val="multilevel"/>
    <w:tmpl w:val="A746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620"/>
    <w:rsid w:val="000167BC"/>
    <w:rsid w:val="000359BB"/>
    <w:rsid w:val="0008760B"/>
    <w:rsid w:val="0009332B"/>
    <w:rsid w:val="000A7584"/>
    <w:rsid w:val="00101E32"/>
    <w:rsid w:val="00114720"/>
    <w:rsid w:val="00122CEE"/>
    <w:rsid w:val="001605F5"/>
    <w:rsid w:val="00184426"/>
    <w:rsid w:val="0022737D"/>
    <w:rsid w:val="0023134B"/>
    <w:rsid w:val="00264A22"/>
    <w:rsid w:val="00275249"/>
    <w:rsid w:val="00290B81"/>
    <w:rsid w:val="002D536F"/>
    <w:rsid w:val="002F680D"/>
    <w:rsid w:val="00330137"/>
    <w:rsid w:val="003337AD"/>
    <w:rsid w:val="003A6FFA"/>
    <w:rsid w:val="00434DBD"/>
    <w:rsid w:val="00435E68"/>
    <w:rsid w:val="00473316"/>
    <w:rsid w:val="00482761"/>
    <w:rsid w:val="00482F60"/>
    <w:rsid w:val="00497D2C"/>
    <w:rsid w:val="004D54A2"/>
    <w:rsid w:val="00513914"/>
    <w:rsid w:val="00543452"/>
    <w:rsid w:val="00556769"/>
    <w:rsid w:val="0057151F"/>
    <w:rsid w:val="00616DEA"/>
    <w:rsid w:val="006210EB"/>
    <w:rsid w:val="0067586B"/>
    <w:rsid w:val="006A13C3"/>
    <w:rsid w:val="006B107F"/>
    <w:rsid w:val="006C329B"/>
    <w:rsid w:val="006D55C5"/>
    <w:rsid w:val="0075762D"/>
    <w:rsid w:val="0078114A"/>
    <w:rsid w:val="00782096"/>
    <w:rsid w:val="007C34EA"/>
    <w:rsid w:val="007D271A"/>
    <w:rsid w:val="007D7FF4"/>
    <w:rsid w:val="007E6C67"/>
    <w:rsid w:val="0080242E"/>
    <w:rsid w:val="00807273"/>
    <w:rsid w:val="00823459"/>
    <w:rsid w:val="0083201A"/>
    <w:rsid w:val="008428F1"/>
    <w:rsid w:val="00862937"/>
    <w:rsid w:val="008843A5"/>
    <w:rsid w:val="00892F73"/>
    <w:rsid w:val="008A7443"/>
    <w:rsid w:val="008F3175"/>
    <w:rsid w:val="00983D35"/>
    <w:rsid w:val="00997BAD"/>
    <w:rsid w:val="009A479D"/>
    <w:rsid w:val="009C4F70"/>
    <w:rsid w:val="009E7C19"/>
    <w:rsid w:val="009F268C"/>
    <w:rsid w:val="00A12859"/>
    <w:rsid w:val="00A24ED9"/>
    <w:rsid w:val="00A84A9F"/>
    <w:rsid w:val="00AB074E"/>
    <w:rsid w:val="00AF1563"/>
    <w:rsid w:val="00AF4489"/>
    <w:rsid w:val="00B44158"/>
    <w:rsid w:val="00B66B7F"/>
    <w:rsid w:val="00B714E1"/>
    <w:rsid w:val="00BA6BE1"/>
    <w:rsid w:val="00BD5CAB"/>
    <w:rsid w:val="00C1511C"/>
    <w:rsid w:val="00C23299"/>
    <w:rsid w:val="00C426D9"/>
    <w:rsid w:val="00C43620"/>
    <w:rsid w:val="00C61198"/>
    <w:rsid w:val="00C85AB3"/>
    <w:rsid w:val="00CD5ED7"/>
    <w:rsid w:val="00CF0405"/>
    <w:rsid w:val="00CF21FA"/>
    <w:rsid w:val="00D66DB5"/>
    <w:rsid w:val="00D7480D"/>
    <w:rsid w:val="00D76C06"/>
    <w:rsid w:val="00D8284D"/>
    <w:rsid w:val="00D9664C"/>
    <w:rsid w:val="00DA3373"/>
    <w:rsid w:val="00DA76E8"/>
    <w:rsid w:val="00DC5B4C"/>
    <w:rsid w:val="00E04684"/>
    <w:rsid w:val="00E27850"/>
    <w:rsid w:val="00E62C51"/>
    <w:rsid w:val="00EB16F5"/>
    <w:rsid w:val="00EC12C4"/>
    <w:rsid w:val="00EF2177"/>
    <w:rsid w:val="00F63AC6"/>
    <w:rsid w:val="00FA4202"/>
    <w:rsid w:val="00FC4377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2D56A-087F-473B-A12C-3C071230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2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1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4362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4362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2761"/>
    <w:pPr>
      <w:autoSpaceDE w:val="0"/>
      <w:autoSpaceDN w:val="0"/>
      <w:adjustRightInd w:val="0"/>
    </w:pPr>
    <w:rPr>
      <w:rFonts w:ascii="Dante MT Regular" w:hAnsi="Dante MT Regular" w:cs="Dante MT Regular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468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19"/>
      <w:szCs w:val="1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04684"/>
    <w:rPr>
      <w:rFonts w:ascii="Palatino Linotype" w:eastAsia="Palatino Linotype" w:hAnsi="Palatino Linotype" w:cs="Palatino Linotype"/>
      <w:sz w:val="19"/>
      <w:szCs w:val="19"/>
    </w:rPr>
  </w:style>
  <w:style w:type="character" w:customStyle="1" w:styleId="popovergroup">
    <w:name w:val="popovergroup"/>
    <w:basedOn w:val="DefaultParagraphFont"/>
    <w:rsid w:val="007C34EA"/>
  </w:style>
  <w:style w:type="character" w:styleId="Hyperlink">
    <w:name w:val="Hyperlink"/>
    <w:basedOn w:val="DefaultParagraphFont"/>
    <w:uiPriority w:val="99"/>
    <w:semiHidden/>
    <w:unhideWhenUsed/>
    <w:rsid w:val="007C34EA"/>
    <w:rPr>
      <w:color w:val="0000FF"/>
      <w:u w:val="single"/>
    </w:rPr>
  </w:style>
  <w:style w:type="character" w:customStyle="1" w:styleId="popoverbutton">
    <w:name w:val="popoverbutton"/>
    <w:basedOn w:val="DefaultParagraphFont"/>
    <w:rsid w:val="007C34EA"/>
  </w:style>
  <w:style w:type="character" w:customStyle="1" w:styleId="label">
    <w:name w:val="label"/>
    <w:basedOn w:val="DefaultParagraphFont"/>
    <w:rsid w:val="007C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Almas Shoaib</cp:lastModifiedBy>
  <cp:revision>56</cp:revision>
  <cp:lastPrinted>2013-09-06T12:31:00Z</cp:lastPrinted>
  <dcterms:created xsi:type="dcterms:W3CDTF">2018-01-03T11:51:00Z</dcterms:created>
  <dcterms:modified xsi:type="dcterms:W3CDTF">2021-07-02T06:38:00Z</dcterms:modified>
</cp:coreProperties>
</file>