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510" w:rsidRPr="00A47DA2" w:rsidRDefault="008E0510" w:rsidP="008E0510">
      <w:pPr>
        <w:autoSpaceDE w:val="0"/>
        <w:autoSpaceDN w:val="0"/>
        <w:adjustRightInd w:val="0"/>
        <w:spacing w:after="0" w:line="240" w:lineRule="auto"/>
        <w:jc w:val="center"/>
        <w:rPr>
          <w:rFonts w:ascii="Times New Roman" w:hAnsi="Times New Roman" w:cs="Times New Roman"/>
          <w:b/>
          <w:bCs/>
          <w:sz w:val="28"/>
          <w:szCs w:val="24"/>
        </w:rPr>
      </w:pPr>
      <w:r w:rsidRPr="00136133">
        <w:rPr>
          <w:rFonts w:asciiTheme="majorBidi" w:hAnsiTheme="majorBidi" w:cstheme="majorBidi"/>
          <w:b/>
          <w:color w:val="000000" w:themeColor="text1"/>
          <w:sz w:val="24"/>
          <w:szCs w:val="24"/>
        </w:rPr>
        <w:t>Theory and Practice of Large Scale Assessment</w:t>
      </w:r>
    </w:p>
    <w:tbl>
      <w:tblPr>
        <w:tblW w:w="114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8235"/>
      </w:tblGrid>
      <w:tr w:rsidR="008E0510" w:rsidRPr="00490C14" w:rsidTr="00A137B2">
        <w:trPr>
          <w:trHeight w:val="350"/>
        </w:trPr>
        <w:tc>
          <w:tcPr>
            <w:tcW w:w="3240" w:type="dxa"/>
          </w:tcPr>
          <w:p w:rsidR="008E0510" w:rsidRPr="00490C14" w:rsidRDefault="008E0510" w:rsidP="00A137B2">
            <w:pPr>
              <w:rPr>
                <w:rFonts w:cstheme="minorHAnsi"/>
                <w:sz w:val="24"/>
                <w:szCs w:val="24"/>
              </w:rPr>
            </w:pPr>
            <w:r w:rsidRPr="00490C14">
              <w:rPr>
                <w:rFonts w:cstheme="minorHAnsi"/>
                <w:sz w:val="24"/>
                <w:szCs w:val="24"/>
              </w:rPr>
              <w:t>Program</w:t>
            </w:r>
          </w:p>
        </w:tc>
        <w:tc>
          <w:tcPr>
            <w:tcW w:w="8235" w:type="dxa"/>
          </w:tcPr>
          <w:p w:rsidR="008E0510" w:rsidRPr="00BB2E9B" w:rsidRDefault="008E0510" w:rsidP="00A137B2">
            <w:pPr>
              <w:ind w:left="702"/>
              <w:rPr>
                <w:rFonts w:ascii="Times New Roman" w:hAnsi="Times New Roman" w:cs="Times New Roman"/>
                <w:b/>
                <w:sz w:val="24"/>
                <w:szCs w:val="24"/>
              </w:rPr>
            </w:pPr>
            <w:r w:rsidRPr="00BB2E9B">
              <w:rPr>
                <w:rFonts w:ascii="Times New Roman" w:hAnsi="Times New Roman" w:cs="Times New Roman"/>
                <w:b/>
                <w:sz w:val="24"/>
                <w:szCs w:val="24"/>
              </w:rPr>
              <w:t xml:space="preserve">Doctor of Philosophy in Education </w:t>
            </w:r>
          </w:p>
        </w:tc>
      </w:tr>
      <w:tr w:rsidR="008E0510" w:rsidRPr="00490C14" w:rsidTr="00A137B2">
        <w:trPr>
          <w:trHeight w:val="440"/>
        </w:trPr>
        <w:tc>
          <w:tcPr>
            <w:tcW w:w="3240" w:type="dxa"/>
          </w:tcPr>
          <w:p w:rsidR="008E0510" w:rsidRPr="00490C14" w:rsidRDefault="008E0510" w:rsidP="00A137B2">
            <w:pPr>
              <w:rPr>
                <w:rFonts w:cstheme="minorHAnsi"/>
                <w:sz w:val="24"/>
                <w:szCs w:val="24"/>
              </w:rPr>
            </w:pPr>
            <w:r w:rsidRPr="00490C14">
              <w:rPr>
                <w:rFonts w:cstheme="minorHAnsi"/>
                <w:sz w:val="24"/>
                <w:szCs w:val="24"/>
              </w:rPr>
              <w:t>Course Code</w:t>
            </w:r>
          </w:p>
        </w:tc>
        <w:tc>
          <w:tcPr>
            <w:tcW w:w="8235" w:type="dxa"/>
          </w:tcPr>
          <w:p w:rsidR="008E0510" w:rsidRPr="00490C14" w:rsidRDefault="008E0510" w:rsidP="00A137B2">
            <w:pPr>
              <w:ind w:left="702"/>
              <w:rPr>
                <w:rFonts w:cstheme="minorHAnsi"/>
                <w:b/>
                <w:sz w:val="24"/>
                <w:szCs w:val="24"/>
                <w:u w:val="single"/>
              </w:rPr>
            </w:pPr>
            <w:r w:rsidRPr="00136133">
              <w:rPr>
                <w:rFonts w:ascii="Times New Roman" w:hAnsi="Times New Roman"/>
                <w:b/>
                <w:sz w:val="24"/>
                <w:szCs w:val="24"/>
              </w:rPr>
              <w:t>ED 766</w:t>
            </w:r>
          </w:p>
        </w:tc>
      </w:tr>
      <w:tr w:rsidR="008E0510" w:rsidRPr="00490C14" w:rsidTr="00A137B2">
        <w:trPr>
          <w:trHeight w:val="422"/>
        </w:trPr>
        <w:tc>
          <w:tcPr>
            <w:tcW w:w="3240" w:type="dxa"/>
          </w:tcPr>
          <w:p w:rsidR="008E0510" w:rsidRPr="00490C14" w:rsidRDefault="008E0510" w:rsidP="00A137B2">
            <w:pPr>
              <w:rPr>
                <w:rFonts w:cstheme="minorHAnsi"/>
                <w:sz w:val="24"/>
                <w:szCs w:val="24"/>
              </w:rPr>
            </w:pPr>
            <w:r w:rsidRPr="00490C14">
              <w:rPr>
                <w:rFonts w:cstheme="minorHAnsi"/>
                <w:sz w:val="24"/>
                <w:szCs w:val="24"/>
              </w:rPr>
              <w:t>Credit Hours</w:t>
            </w:r>
          </w:p>
        </w:tc>
        <w:tc>
          <w:tcPr>
            <w:tcW w:w="8235" w:type="dxa"/>
          </w:tcPr>
          <w:p w:rsidR="008E0510" w:rsidRPr="00490C14" w:rsidRDefault="008E0510" w:rsidP="00A137B2">
            <w:pPr>
              <w:ind w:left="702"/>
              <w:rPr>
                <w:rFonts w:cstheme="minorHAnsi"/>
                <w:b/>
                <w:sz w:val="24"/>
                <w:szCs w:val="24"/>
                <w:u w:val="single"/>
              </w:rPr>
            </w:pPr>
            <w:r w:rsidRPr="00490C14">
              <w:rPr>
                <w:rFonts w:cstheme="minorHAnsi"/>
                <w:b/>
                <w:sz w:val="24"/>
                <w:szCs w:val="24"/>
                <w:u w:val="single"/>
              </w:rPr>
              <w:t>3</w:t>
            </w:r>
          </w:p>
        </w:tc>
      </w:tr>
      <w:tr w:rsidR="008E0510" w:rsidRPr="00490C14" w:rsidTr="00A137B2">
        <w:trPr>
          <w:trHeight w:val="332"/>
        </w:trPr>
        <w:tc>
          <w:tcPr>
            <w:tcW w:w="3240" w:type="dxa"/>
          </w:tcPr>
          <w:p w:rsidR="008E0510" w:rsidRPr="00490C14" w:rsidRDefault="008E0510" w:rsidP="00A137B2">
            <w:pPr>
              <w:rPr>
                <w:rFonts w:cstheme="minorHAnsi"/>
                <w:sz w:val="24"/>
                <w:szCs w:val="24"/>
              </w:rPr>
            </w:pPr>
            <w:r w:rsidRPr="00490C14">
              <w:rPr>
                <w:rFonts w:cstheme="minorHAnsi"/>
                <w:sz w:val="24"/>
                <w:szCs w:val="24"/>
              </w:rPr>
              <w:t>Duration</w:t>
            </w:r>
          </w:p>
        </w:tc>
        <w:tc>
          <w:tcPr>
            <w:tcW w:w="8235" w:type="dxa"/>
          </w:tcPr>
          <w:p w:rsidR="008E0510" w:rsidRPr="00490C14" w:rsidRDefault="008E0510" w:rsidP="00A137B2">
            <w:pPr>
              <w:ind w:left="702"/>
              <w:rPr>
                <w:rFonts w:cstheme="minorHAnsi"/>
                <w:b/>
                <w:sz w:val="24"/>
                <w:szCs w:val="24"/>
                <w:u w:val="single"/>
              </w:rPr>
            </w:pPr>
            <w:r w:rsidRPr="00490C14">
              <w:rPr>
                <w:rFonts w:cstheme="minorHAnsi"/>
                <w:b/>
                <w:sz w:val="24"/>
                <w:szCs w:val="24"/>
                <w:u w:val="single"/>
              </w:rPr>
              <w:t>15 * 2 = 30 sessions</w:t>
            </w:r>
          </w:p>
        </w:tc>
      </w:tr>
      <w:tr w:rsidR="008E0510" w:rsidRPr="00490C14" w:rsidTr="00A137B2">
        <w:trPr>
          <w:trHeight w:val="323"/>
        </w:trPr>
        <w:tc>
          <w:tcPr>
            <w:tcW w:w="3240" w:type="dxa"/>
          </w:tcPr>
          <w:p w:rsidR="008E0510" w:rsidRPr="00490C14" w:rsidRDefault="008E0510" w:rsidP="00A137B2">
            <w:pPr>
              <w:rPr>
                <w:rFonts w:cstheme="minorHAnsi"/>
                <w:sz w:val="24"/>
                <w:szCs w:val="24"/>
              </w:rPr>
            </w:pPr>
            <w:r w:rsidRPr="00490C14">
              <w:rPr>
                <w:rFonts w:cstheme="minorHAnsi"/>
                <w:sz w:val="24"/>
                <w:szCs w:val="24"/>
              </w:rPr>
              <w:t>Prerequisites</w:t>
            </w:r>
          </w:p>
        </w:tc>
        <w:tc>
          <w:tcPr>
            <w:tcW w:w="8235" w:type="dxa"/>
          </w:tcPr>
          <w:p w:rsidR="008E0510" w:rsidRPr="00490C14" w:rsidRDefault="008E0510" w:rsidP="00A137B2">
            <w:pPr>
              <w:ind w:left="702"/>
              <w:rPr>
                <w:rFonts w:cstheme="minorHAnsi"/>
                <w:b/>
                <w:sz w:val="24"/>
                <w:szCs w:val="24"/>
                <w:u w:val="single"/>
              </w:rPr>
            </w:pPr>
            <w:r w:rsidRPr="00490C14">
              <w:rPr>
                <w:rFonts w:cstheme="minorHAnsi"/>
                <w:b/>
                <w:sz w:val="24"/>
                <w:szCs w:val="24"/>
                <w:u w:val="single"/>
              </w:rPr>
              <w:t xml:space="preserve">None </w:t>
            </w:r>
          </w:p>
        </w:tc>
      </w:tr>
      <w:tr w:rsidR="008E0510" w:rsidRPr="00490C14" w:rsidTr="00A137B2">
        <w:trPr>
          <w:trHeight w:val="530"/>
        </w:trPr>
        <w:tc>
          <w:tcPr>
            <w:tcW w:w="3240" w:type="dxa"/>
          </w:tcPr>
          <w:p w:rsidR="008E0510" w:rsidRPr="00490C14" w:rsidRDefault="008E0510" w:rsidP="00A137B2">
            <w:pPr>
              <w:tabs>
                <w:tab w:val="left" w:pos="345"/>
              </w:tabs>
              <w:rPr>
                <w:rFonts w:cstheme="minorHAnsi"/>
                <w:b/>
                <w:sz w:val="24"/>
                <w:szCs w:val="24"/>
                <w:u w:val="single"/>
              </w:rPr>
            </w:pPr>
            <w:r w:rsidRPr="00490C14">
              <w:rPr>
                <w:rFonts w:cstheme="minorHAnsi"/>
                <w:sz w:val="24"/>
                <w:szCs w:val="24"/>
              </w:rPr>
              <w:t>Resource Person</w:t>
            </w:r>
          </w:p>
        </w:tc>
        <w:tc>
          <w:tcPr>
            <w:tcW w:w="8235" w:type="dxa"/>
          </w:tcPr>
          <w:p w:rsidR="008E0510" w:rsidRPr="00490C14" w:rsidRDefault="008E0510" w:rsidP="00A137B2">
            <w:pPr>
              <w:ind w:left="702"/>
              <w:rPr>
                <w:rFonts w:cstheme="minorHAnsi"/>
                <w:b/>
                <w:sz w:val="24"/>
                <w:szCs w:val="24"/>
                <w:u w:val="single"/>
              </w:rPr>
            </w:pPr>
            <w:r>
              <w:rPr>
                <w:rFonts w:cstheme="minorHAnsi"/>
                <w:b/>
                <w:sz w:val="24"/>
                <w:szCs w:val="24"/>
                <w:u w:val="single"/>
              </w:rPr>
              <w:t>Dr</w:t>
            </w:r>
            <w:r w:rsidRPr="00490C14">
              <w:rPr>
                <w:rFonts w:cstheme="minorHAnsi"/>
                <w:b/>
                <w:sz w:val="24"/>
                <w:szCs w:val="24"/>
                <w:u w:val="single"/>
              </w:rPr>
              <w:t xml:space="preserve">. </w:t>
            </w:r>
            <w:proofErr w:type="spellStart"/>
            <w:r w:rsidRPr="00490C14">
              <w:rPr>
                <w:rFonts w:cstheme="minorHAnsi"/>
                <w:b/>
                <w:sz w:val="24"/>
                <w:szCs w:val="24"/>
                <w:u w:val="single"/>
              </w:rPr>
              <w:t>Fariha</w:t>
            </w:r>
            <w:proofErr w:type="spellEnd"/>
            <w:r w:rsidRPr="00490C14">
              <w:rPr>
                <w:rFonts w:cstheme="minorHAnsi"/>
                <w:b/>
                <w:sz w:val="24"/>
                <w:szCs w:val="24"/>
                <w:u w:val="single"/>
              </w:rPr>
              <w:t xml:space="preserve"> Gull</w:t>
            </w:r>
          </w:p>
        </w:tc>
      </w:tr>
      <w:tr w:rsidR="008E0510" w:rsidRPr="00490C14" w:rsidTr="00A137B2">
        <w:trPr>
          <w:trHeight w:val="620"/>
        </w:trPr>
        <w:tc>
          <w:tcPr>
            <w:tcW w:w="3240" w:type="dxa"/>
          </w:tcPr>
          <w:p w:rsidR="008E0510" w:rsidRPr="00490C14" w:rsidRDefault="008E0510" w:rsidP="00A137B2">
            <w:pPr>
              <w:rPr>
                <w:rFonts w:cstheme="minorHAnsi"/>
                <w:sz w:val="24"/>
                <w:szCs w:val="24"/>
              </w:rPr>
            </w:pPr>
            <w:r w:rsidRPr="00490C14">
              <w:rPr>
                <w:rFonts w:cstheme="minorHAnsi"/>
                <w:sz w:val="24"/>
                <w:szCs w:val="24"/>
              </w:rPr>
              <w:t>Counseling Timing</w:t>
            </w:r>
          </w:p>
        </w:tc>
        <w:tc>
          <w:tcPr>
            <w:tcW w:w="8235" w:type="dxa"/>
          </w:tcPr>
          <w:p w:rsidR="008E0510" w:rsidRPr="00490C14" w:rsidRDefault="008E0510" w:rsidP="00A137B2">
            <w:pPr>
              <w:spacing w:after="0" w:line="240" w:lineRule="auto"/>
              <w:ind w:left="702"/>
              <w:rPr>
                <w:rFonts w:cstheme="minorHAnsi"/>
                <w:b/>
                <w:sz w:val="24"/>
                <w:szCs w:val="24"/>
                <w:u w:val="single"/>
              </w:rPr>
            </w:pPr>
          </w:p>
        </w:tc>
      </w:tr>
      <w:tr w:rsidR="008E0510" w:rsidRPr="00490C14" w:rsidTr="00A137B2">
        <w:trPr>
          <w:trHeight w:val="440"/>
        </w:trPr>
        <w:tc>
          <w:tcPr>
            <w:tcW w:w="3240" w:type="dxa"/>
          </w:tcPr>
          <w:p w:rsidR="008E0510" w:rsidRPr="00490C14" w:rsidRDefault="008E0510" w:rsidP="00A137B2">
            <w:pPr>
              <w:rPr>
                <w:rFonts w:cstheme="minorHAnsi"/>
                <w:sz w:val="24"/>
                <w:szCs w:val="24"/>
              </w:rPr>
            </w:pPr>
            <w:r w:rsidRPr="00490C14">
              <w:rPr>
                <w:rFonts w:cstheme="minorHAnsi"/>
                <w:sz w:val="24"/>
                <w:szCs w:val="24"/>
              </w:rPr>
              <w:t>Contact</w:t>
            </w:r>
          </w:p>
        </w:tc>
        <w:tc>
          <w:tcPr>
            <w:tcW w:w="8235" w:type="dxa"/>
          </w:tcPr>
          <w:p w:rsidR="008E0510" w:rsidRPr="00490C14" w:rsidRDefault="008E0510" w:rsidP="00A137B2">
            <w:pPr>
              <w:rPr>
                <w:rFonts w:cstheme="minorHAnsi"/>
                <w:sz w:val="24"/>
                <w:szCs w:val="24"/>
                <w:u w:val="single"/>
              </w:rPr>
            </w:pPr>
            <w:r w:rsidRPr="00490C14">
              <w:rPr>
                <w:rFonts w:cstheme="minorHAnsi"/>
                <w:sz w:val="24"/>
                <w:szCs w:val="24"/>
              </w:rPr>
              <w:t xml:space="preserve">E-mail:   </w:t>
            </w:r>
            <w:hyperlink r:id="rId5" w:history="1">
              <w:r w:rsidRPr="001E3E88">
                <w:rPr>
                  <w:rStyle w:val="Hyperlink"/>
                  <w:rFonts w:cstheme="minorHAnsi"/>
                  <w:sz w:val="24"/>
                  <w:szCs w:val="24"/>
                </w:rPr>
                <w:t>fariha.gul@umt.edu.pk</w:t>
              </w:r>
            </w:hyperlink>
          </w:p>
        </w:tc>
      </w:tr>
    </w:tbl>
    <w:p w:rsidR="008E0510" w:rsidRDefault="008E0510" w:rsidP="008E0510">
      <w:pPr>
        <w:tabs>
          <w:tab w:val="left" w:pos="569"/>
        </w:tabs>
        <w:spacing w:before="100" w:beforeAutospacing="1" w:after="0" w:line="240" w:lineRule="auto"/>
        <w:rPr>
          <w:rFonts w:eastAsia="Times New Roman" w:cstheme="minorHAnsi"/>
          <w:b/>
          <w:sz w:val="24"/>
          <w:szCs w:val="24"/>
        </w:rPr>
      </w:pPr>
      <w:r w:rsidRPr="00490C14">
        <w:rPr>
          <w:rFonts w:eastAsia="Times New Roman" w:cstheme="minorHAnsi"/>
          <w:b/>
          <w:sz w:val="24"/>
          <w:szCs w:val="24"/>
        </w:rPr>
        <w:t xml:space="preserve">Chairman/Director </w:t>
      </w:r>
      <w:proofErr w:type="spellStart"/>
      <w:r w:rsidRPr="00490C14">
        <w:rPr>
          <w:rFonts w:eastAsia="Times New Roman" w:cstheme="minorHAnsi"/>
          <w:b/>
          <w:sz w:val="24"/>
          <w:szCs w:val="24"/>
        </w:rPr>
        <w:t>Programme</w:t>
      </w:r>
      <w:proofErr w:type="spellEnd"/>
      <w:r w:rsidRPr="00490C14">
        <w:rPr>
          <w:rFonts w:eastAsia="Times New Roman" w:cstheme="minorHAnsi"/>
          <w:b/>
          <w:sz w:val="24"/>
          <w:szCs w:val="24"/>
        </w:rPr>
        <w:t xml:space="preserve"> signature……………….   </w:t>
      </w:r>
      <w:r>
        <w:rPr>
          <w:rFonts w:eastAsia="Times New Roman" w:cstheme="minorHAnsi"/>
          <w:b/>
          <w:sz w:val="24"/>
          <w:szCs w:val="24"/>
        </w:rPr>
        <w:t xml:space="preserve">                             </w:t>
      </w:r>
      <w:r w:rsidRPr="00490C14">
        <w:rPr>
          <w:rFonts w:eastAsia="Times New Roman" w:cstheme="minorHAnsi"/>
          <w:b/>
          <w:sz w:val="24"/>
          <w:szCs w:val="24"/>
        </w:rPr>
        <w:t>Dean’s signature…………</w:t>
      </w:r>
    </w:p>
    <w:p w:rsidR="008E0510" w:rsidRPr="00CA4F02" w:rsidRDefault="008E0510" w:rsidP="008E0510">
      <w:pPr>
        <w:tabs>
          <w:tab w:val="left" w:pos="569"/>
        </w:tabs>
        <w:spacing w:before="100" w:beforeAutospacing="1" w:after="0" w:line="240" w:lineRule="auto"/>
        <w:rPr>
          <w:rFonts w:eastAsia="Times New Roman" w:cstheme="minorHAnsi"/>
          <w:b/>
          <w:sz w:val="24"/>
          <w:szCs w:val="24"/>
        </w:rPr>
      </w:pPr>
      <w:r w:rsidRPr="00CA4F02">
        <w:rPr>
          <w:rFonts w:eastAsia="Times New Roman" w:cstheme="minorHAnsi"/>
          <w:b/>
          <w:sz w:val="24"/>
          <w:szCs w:val="24"/>
        </w:rPr>
        <w:t>Introduction</w:t>
      </w:r>
    </w:p>
    <w:p w:rsidR="005C6D7B" w:rsidRDefault="005C6D7B" w:rsidP="008E0510">
      <w:pPr>
        <w:tabs>
          <w:tab w:val="left" w:pos="360"/>
        </w:tabs>
        <w:spacing w:after="0"/>
        <w:jc w:val="both"/>
      </w:pPr>
      <w:r>
        <w:t xml:space="preserve">This course provides an introduction to large-scale testing, presenting an overview of the various tasks that employees perform in testing organizations, city-wide testing bureaus, professional licensing and certification boards, statewide educational testing programs, testing units that are part of state merit systems, etc. The course should be useful for students considering working for such organizations in a variety of capacities (e.g., item writers, statisticians, </w:t>
      </w:r>
      <w:proofErr w:type="spellStart"/>
      <w:r>
        <w:t>psychometricians</w:t>
      </w:r>
      <w:proofErr w:type="spellEnd"/>
      <w:r>
        <w:t>, researchers, testing program managers), employees currently working in these organizations who would like to increase their understanding of the field, and students who want to gain an understanding of the challenges of creating and administering large-scale tests.</w:t>
      </w:r>
    </w:p>
    <w:p w:rsidR="008E0510" w:rsidRDefault="008E0510" w:rsidP="008E0510">
      <w:pPr>
        <w:tabs>
          <w:tab w:val="left" w:pos="360"/>
        </w:tabs>
        <w:spacing w:after="0"/>
        <w:jc w:val="both"/>
        <w:rPr>
          <w:rFonts w:cstheme="minorHAnsi"/>
          <w:b/>
          <w:sz w:val="24"/>
          <w:szCs w:val="20"/>
        </w:rPr>
      </w:pPr>
      <w:r w:rsidRPr="00CA4F02">
        <w:rPr>
          <w:rFonts w:cstheme="minorHAnsi"/>
          <w:b/>
          <w:sz w:val="24"/>
          <w:szCs w:val="20"/>
        </w:rPr>
        <w:t>Learning Outcomes</w:t>
      </w:r>
    </w:p>
    <w:p w:rsidR="009E1934" w:rsidRPr="009E1934" w:rsidRDefault="009E1934" w:rsidP="008E0510">
      <w:pPr>
        <w:tabs>
          <w:tab w:val="left" w:pos="360"/>
        </w:tabs>
        <w:spacing w:after="0"/>
        <w:jc w:val="both"/>
        <w:rPr>
          <w:rFonts w:cstheme="minorHAnsi"/>
          <w:sz w:val="20"/>
          <w:szCs w:val="20"/>
        </w:rPr>
      </w:pPr>
      <w:r w:rsidRPr="009E1934">
        <w:rPr>
          <w:rFonts w:cstheme="minorHAnsi"/>
          <w:sz w:val="24"/>
          <w:szCs w:val="20"/>
        </w:rPr>
        <w:t xml:space="preserve">Following are the aims and objectives of the course; </w:t>
      </w:r>
    </w:p>
    <w:p w:rsidR="009E1934" w:rsidRDefault="009E1934" w:rsidP="00421110">
      <w:pPr>
        <w:pStyle w:val="ListParagraph"/>
        <w:numPr>
          <w:ilvl w:val="0"/>
          <w:numId w:val="6"/>
        </w:numPr>
        <w:spacing w:line="240" w:lineRule="auto"/>
      </w:pPr>
      <w:r>
        <w:t>the various tasks involved in constructing a large-scale test (e.g., defining a content domain; conducting a job analysis or practice analysis to provide the basis for a test framework; writing test specifications, items, and scoring procedures; assembling item pools and tests; conducting reviews of items for content and fairness considerations; piloting/field testing items; evaluating the quality of items in an item pool and the psyc</w:t>
      </w:r>
      <w:r>
        <w:t>hometric properties of a test)</w:t>
      </w:r>
    </w:p>
    <w:p w:rsidR="009E1934" w:rsidRDefault="009E1934" w:rsidP="00421110">
      <w:pPr>
        <w:pStyle w:val="ListParagraph"/>
        <w:numPr>
          <w:ilvl w:val="0"/>
          <w:numId w:val="6"/>
        </w:numPr>
        <w:spacing w:line="240" w:lineRule="auto"/>
      </w:pPr>
      <w:r>
        <w:t>documents guiding the design and use of large-scale tests (Standards for Educational and Psychological Testing, Code of Fair Testing Practices in Education, Principles for the Validation and Use of Personnel Selection Procedures, Uniform Guidelines on Employee Selection Procedures, Code of Professional Responsibilities in Educational Measurement, Ethical Standards of the American Educational Research Association, Ethical Principles of Psychologists and Code of Conduct, The Rights and Re</w:t>
      </w:r>
      <w:r>
        <w:t xml:space="preserve">sponsibilities of Test Takers) </w:t>
      </w:r>
    </w:p>
    <w:p w:rsidR="009E1934" w:rsidRDefault="009E1934" w:rsidP="00421110">
      <w:pPr>
        <w:pStyle w:val="ListParagraph"/>
        <w:numPr>
          <w:ilvl w:val="0"/>
          <w:numId w:val="6"/>
        </w:numPr>
        <w:spacing w:line="240" w:lineRule="auto"/>
      </w:pPr>
      <w:r>
        <w:t>key terms used in writing and d</w:t>
      </w:r>
      <w:r>
        <w:t xml:space="preserve">iscussing large-scale testing </w:t>
      </w:r>
    </w:p>
    <w:p w:rsidR="009E1934" w:rsidRDefault="009E1934" w:rsidP="00421110">
      <w:pPr>
        <w:pStyle w:val="ListParagraph"/>
        <w:numPr>
          <w:ilvl w:val="0"/>
          <w:numId w:val="6"/>
        </w:numPr>
        <w:spacing w:line="240" w:lineRule="auto"/>
      </w:pPr>
      <w:r>
        <w:t>reliability, validity, and errors of measurement and their roles in the construction, selection, interpretation</w:t>
      </w:r>
      <w:r>
        <w:t xml:space="preserve">, and use of large-scale tests </w:t>
      </w:r>
    </w:p>
    <w:p w:rsidR="009E1934" w:rsidRDefault="009E1934" w:rsidP="00421110">
      <w:pPr>
        <w:pStyle w:val="ListParagraph"/>
        <w:numPr>
          <w:ilvl w:val="0"/>
          <w:numId w:val="6"/>
        </w:numPr>
        <w:spacing w:line="240" w:lineRule="auto"/>
      </w:pPr>
      <w:r>
        <w:lastRenderedPageBreak/>
        <w:t>different approaches for scoring, scaling, norming, equating,</w:t>
      </w:r>
      <w:r>
        <w:t xml:space="preserve"> and linking large-scale tests </w:t>
      </w:r>
    </w:p>
    <w:p w:rsidR="009E1934" w:rsidRDefault="009E1934" w:rsidP="00421110">
      <w:pPr>
        <w:pStyle w:val="ListParagraph"/>
        <w:numPr>
          <w:ilvl w:val="0"/>
          <w:numId w:val="6"/>
        </w:numPr>
        <w:spacing w:line="240" w:lineRule="auto"/>
      </w:pPr>
      <w:r>
        <w:t>different methods for setting defensible standards/cut scores on large-scale t</w:t>
      </w:r>
      <w:r>
        <w:t>ests</w:t>
      </w:r>
    </w:p>
    <w:p w:rsidR="009E1934" w:rsidRDefault="009E1934" w:rsidP="00421110">
      <w:pPr>
        <w:pStyle w:val="ListParagraph"/>
        <w:numPr>
          <w:ilvl w:val="0"/>
          <w:numId w:val="6"/>
        </w:numPr>
        <w:spacing w:line="240" w:lineRule="auto"/>
      </w:pPr>
      <w:r>
        <w:t>the steps involved in standardizing a test (e.g., preparing standardized directions, administering tests under standardized conditions, employing standardized scoring procedures, developing mater</w:t>
      </w:r>
      <w:r>
        <w:t xml:space="preserve">ials to interpret test scores) </w:t>
      </w:r>
    </w:p>
    <w:p w:rsidR="009E1934" w:rsidRDefault="009E1934" w:rsidP="00421110">
      <w:pPr>
        <w:pStyle w:val="ListParagraph"/>
        <w:numPr>
          <w:ilvl w:val="0"/>
          <w:numId w:val="6"/>
        </w:numPr>
        <w:spacing w:line="240" w:lineRule="auto"/>
      </w:pPr>
      <w:r>
        <w:t>what is involved in preparing supporting documentation for a test so that test users will have the information they need to make sound judgments regarding the test’s nature and quality, the scores it produces, as well as the inter</w:t>
      </w:r>
      <w:r>
        <w:t xml:space="preserve">pretations based on the scores </w:t>
      </w:r>
    </w:p>
    <w:p w:rsidR="009E1934" w:rsidRDefault="009E1934" w:rsidP="00421110">
      <w:pPr>
        <w:pStyle w:val="ListParagraph"/>
        <w:numPr>
          <w:ilvl w:val="0"/>
          <w:numId w:val="6"/>
        </w:numPr>
        <w:spacing w:line="240" w:lineRule="auto"/>
      </w:pPr>
      <w:r>
        <w:t>ways that large-scale tests can be modified to accommodate individuals with various disabilities, and individuals from d</w:t>
      </w:r>
      <w:r>
        <w:t xml:space="preserve">iverse linguistic backgrounds </w:t>
      </w:r>
    </w:p>
    <w:p w:rsidR="009E1934" w:rsidRDefault="009E1934" w:rsidP="00421110">
      <w:pPr>
        <w:pStyle w:val="ListParagraph"/>
        <w:numPr>
          <w:ilvl w:val="0"/>
          <w:numId w:val="6"/>
        </w:numPr>
        <w:spacing w:line="240" w:lineRule="auto"/>
      </w:pPr>
      <w:r>
        <w:t>issues of fa</w:t>
      </w:r>
      <w:r>
        <w:t xml:space="preserve">irness in large-scale testing </w:t>
      </w:r>
    </w:p>
    <w:p w:rsidR="009E1934" w:rsidRDefault="009E1934" w:rsidP="00421110">
      <w:pPr>
        <w:pStyle w:val="ListParagraph"/>
        <w:numPr>
          <w:ilvl w:val="0"/>
          <w:numId w:val="6"/>
        </w:numPr>
        <w:spacing w:line="240" w:lineRule="auto"/>
      </w:pPr>
      <w:r>
        <w:t>the rights and re</w:t>
      </w:r>
      <w:r>
        <w:t xml:space="preserve">sponsibilities of test takers </w:t>
      </w:r>
    </w:p>
    <w:p w:rsidR="009E1934" w:rsidRDefault="009E1934" w:rsidP="00421110">
      <w:pPr>
        <w:pStyle w:val="ListParagraph"/>
        <w:numPr>
          <w:ilvl w:val="0"/>
          <w:numId w:val="6"/>
        </w:numPr>
        <w:spacing w:line="240" w:lineRule="auto"/>
      </w:pPr>
      <w:r>
        <w:t>the responsibilities of t</w:t>
      </w:r>
      <w:r>
        <w:t xml:space="preserve">est users </w:t>
      </w:r>
    </w:p>
    <w:p w:rsidR="009E1934" w:rsidRDefault="009E1934" w:rsidP="00421110">
      <w:pPr>
        <w:pStyle w:val="ListParagraph"/>
        <w:numPr>
          <w:ilvl w:val="0"/>
          <w:numId w:val="6"/>
        </w:numPr>
        <w:spacing w:line="240" w:lineRule="auto"/>
      </w:pPr>
      <w:r>
        <w:t>key issues that</w:t>
      </w:r>
      <w:r>
        <w:t xml:space="preserve"> arise in large-scale testing </w:t>
      </w:r>
    </w:p>
    <w:p w:rsidR="009E1934" w:rsidRPr="00421110" w:rsidRDefault="009E1934" w:rsidP="00421110">
      <w:pPr>
        <w:pStyle w:val="ListParagraph"/>
        <w:numPr>
          <w:ilvl w:val="0"/>
          <w:numId w:val="6"/>
        </w:numPr>
        <w:spacing w:line="240" w:lineRule="auto"/>
        <w:rPr>
          <w:rFonts w:cstheme="minorHAnsi"/>
          <w:sz w:val="20"/>
          <w:szCs w:val="20"/>
        </w:rPr>
      </w:pPr>
      <w:r>
        <w:t>key court cases, laws, and legislation that affect large-scale testing programs</w:t>
      </w:r>
    </w:p>
    <w:p w:rsidR="008E0510" w:rsidRPr="001504DC" w:rsidRDefault="008E0510" w:rsidP="008E0510">
      <w:pPr>
        <w:tabs>
          <w:tab w:val="left" w:pos="930"/>
        </w:tabs>
        <w:spacing w:after="0"/>
        <w:rPr>
          <w:rFonts w:cstheme="minorHAnsi"/>
          <w:b/>
          <w:sz w:val="24"/>
          <w:szCs w:val="24"/>
          <w:u w:val="single"/>
        </w:rPr>
      </w:pPr>
      <w:r>
        <w:rPr>
          <w:rFonts w:cstheme="minorHAnsi"/>
          <w:b/>
          <w:sz w:val="24"/>
          <w:szCs w:val="24"/>
          <w:u w:val="single"/>
        </w:rPr>
        <w:t xml:space="preserve">Textbook: </w:t>
      </w:r>
    </w:p>
    <w:p w:rsidR="008E0510" w:rsidRPr="00845C47" w:rsidRDefault="008E0510" w:rsidP="008E0510">
      <w:pPr>
        <w:tabs>
          <w:tab w:val="left" w:pos="930"/>
        </w:tabs>
        <w:spacing w:after="0"/>
        <w:rPr>
          <w:rFonts w:cstheme="minorHAnsi"/>
          <w:sz w:val="20"/>
          <w:szCs w:val="24"/>
        </w:rPr>
      </w:pPr>
      <w:r w:rsidRPr="00845C47">
        <w:rPr>
          <w:rFonts w:cstheme="minorHAnsi"/>
          <w:sz w:val="20"/>
          <w:szCs w:val="24"/>
        </w:rPr>
        <w:t xml:space="preserve">Following book on educational assessment and measurement will be used as textbook for the course. Copy of this book can be borrowed from library or can be collected from course instruction for photocopy. </w:t>
      </w:r>
    </w:p>
    <w:p w:rsidR="007A1A2F" w:rsidRDefault="007A1A2F" w:rsidP="008E0510">
      <w:pPr>
        <w:tabs>
          <w:tab w:val="left" w:pos="930"/>
        </w:tabs>
        <w:spacing w:after="0"/>
      </w:pPr>
    </w:p>
    <w:p w:rsidR="00C66122" w:rsidRDefault="007A1A2F" w:rsidP="008E0510">
      <w:pPr>
        <w:tabs>
          <w:tab w:val="left" w:pos="930"/>
        </w:tabs>
        <w:spacing w:after="0"/>
      </w:pPr>
      <w:r>
        <w:t>Standards for educational and psychological testing. Washington, DC: American Educational Research Association. ISBN: 0-935302-35-6</w:t>
      </w:r>
    </w:p>
    <w:p w:rsidR="008E0510" w:rsidRPr="00150D56" w:rsidRDefault="004B2E1A" w:rsidP="008E0510">
      <w:pPr>
        <w:tabs>
          <w:tab w:val="left" w:pos="930"/>
        </w:tabs>
        <w:spacing w:after="0"/>
        <w:rPr>
          <w:rFonts w:cstheme="minorHAnsi"/>
          <w:b/>
          <w:sz w:val="20"/>
          <w:szCs w:val="20"/>
          <w:u w:val="single"/>
        </w:rPr>
      </w:pPr>
      <w:r>
        <w:rPr>
          <w:rFonts w:cstheme="minorHAnsi"/>
          <w:b/>
          <w:sz w:val="20"/>
          <w:szCs w:val="20"/>
          <w:u w:val="single"/>
        </w:rPr>
        <w:t xml:space="preserve">Recommended material </w:t>
      </w:r>
      <w:r w:rsidR="008E0510">
        <w:rPr>
          <w:rFonts w:cstheme="minorHAnsi"/>
          <w:b/>
          <w:sz w:val="20"/>
          <w:szCs w:val="20"/>
          <w:u w:val="single"/>
        </w:rPr>
        <w:t>for further reading</w:t>
      </w:r>
      <w:r w:rsidR="008E0510" w:rsidRPr="00845C47">
        <w:rPr>
          <w:rFonts w:cstheme="minorHAnsi"/>
          <w:b/>
          <w:sz w:val="20"/>
          <w:szCs w:val="20"/>
          <w:u w:val="single"/>
        </w:rPr>
        <w:t xml:space="preserve">: </w:t>
      </w:r>
    </w:p>
    <w:p w:rsidR="00C66122" w:rsidRPr="00C66122" w:rsidRDefault="00C66122" w:rsidP="008E0510">
      <w:pPr>
        <w:pStyle w:val="ListParagraph"/>
        <w:numPr>
          <w:ilvl w:val="0"/>
          <w:numId w:val="1"/>
        </w:numPr>
        <w:spacing w:after="0" w:line="240" w:lineRule="auto"/>
        <w:jc w:val="both"/>
        <w:rPr>
          <w:rFonts w:cstheme="minorHAnsi"/>
          <w:sz w:val="20"/>
          <w:szCs w:val="20"/>
        </w:rPr>
      </w:pPr>
      <w:r>
        <w:t xml:space="preserve">Lane, S., Raymond, M. R., &amp; </w:t>
      </w:r>
      <w:proofErr w:type="spellStart"/>
      <w:r>
        <w:t>Haladyna</w:t>
      </w:r>
      <w:proofErr w:type="spellEnd"/>
      <w:r>
        <w:t>, T. M. (Eds.). (2016). Handbook of test development. New York, NY: Taylor &amp; Francis. ISBN: 978-0-415- 62602-6</w:t>
      </w:r>
    </w:p>
    <w:p w:rsidR="008E0510" w:rsidRPr="004B2E1A" w:rsidRDefault="00C66122" w:rsidP="008E0510">
      <w:pPr>
        <w:pStyle w:val="ListParagraph"/>
        <w:numPr>
          <w:ilvl w:val="0"/>
          <w:numId w:val="1"/>
        </w:numPr>
        <w:spacing w:after="0" w:line="240" w:lineRule="auto"/>
        <w:jc w:val="both"/>
        <w:rPr>
          <w:rFonts w:cstheme="minorHAnsi"/>
          <w:sz w:val="20"/>
          <w:szCs w:val="20"/>
        </w:rPr>
      </w:pPr>
      <w:r>
        <w:t xml:space="preserve">Brennan, R. L. (Ed.). (2006). Educational measurement (4th </w:t>
      </w:r>
      <w:proofErr w:type="spellStart"/>
      <w:proofErr w:type="gramStart"/>
      <w:r>
        <w:t>ed</w:t>
      </w:r>
      <w:proofErr w:type="spellEnd"/>
      <w:proofErr w:type="gramEnd"/>
      <w:r>
        <w:t xml:space="preserve">). Westport, CT: </w:t>
      </w:r>
      <w:proofErr w:type="spellStart"/>
      <w:r>
        <w:t>Praeger</w:t>
      </w:r>
      <w:proofErr w:type="spellEnd"/>
      <w:r>
        <w:t>. ISBN: 0-275-98125-8</w:t>
      </w:r>
      <w:r w:rsidR="008E0510" w:rsidRPr="00845C47">
        <w:rPr>
          <w:rFonts w:eastAsiaTheme="minorHAnsi" w:cstheme="minorHAnsi"/>
          <w:color w:val="000000"/>
          <w:sz w:val="20"/>
          <w:szCs w:val="20"/>
        </w:rPr>
        <w:t xml:space="preserve"> </w:t>
      </w:r>
    </w:p>
    <w:p w:rsidR="004B2E1A" w:rsidRPr="00C50EDA" w:rsidRDefault="004B2E1A" w:rsidP="008E0510">
      <w:pPr>
        <w:pStyle w:val="ListParagraph"/>
        <w:numPr>
          <w:ilvl w:val="0"/>
          <w:numId w:val="1"/>
        </w:numPr>
        <w:spacing w:after="0" w:line="240" w:lineRule="auto"/>
        <w:jc w:val="both"/>
        <w:rPr>
          <w:rFonts w:cstheme="minorHAnsi"/>
          <w:sz w:val="20"/>
          <w:szCs w:val="20"/>
        </w:rPr>
      </w:pPr>
      <w:r>
        <w:t xml:space="preserve">Wise, L. L., &amp; </w:t>
      </w:r>
      <w:proofErr w:type="spellStart"/>
      <w:r>
        <w:t>Plake</w:t>
      </w:r>
      <w:proofErr w:type="spellEnd"/>
      <w:r>
        <w:t xml:space="preserve">, B. S. (2016). Test design and development following the standards for educational and psychological testing. In S. Lane, M.R. Raymond, &amp; T.M. </w:t>
      </w:r>
      <w:proofErr w:type="spellStart"/>
      <w:r>
        <w:t>Haladyna</w:t>
      </w:r>
      <w:proofErr w:type="spellEnd"/>
      <w:r>
        <w:t xml:space="preserve"> (Eds.). (2016). Handbook of test development (pp. 19-39). New York, NY: Taylor &amp; Francis.</w:t>
      </w:r>
    </w:p>
    <w:p w:rsidR="00C50EDA" w:rsidRPr="0002696A" w:rsidRDefault="00C50EDA" w:rsidP="008E0510">
      <w:pPr>
        <w:pStyle w:val="ListParagraph"/>
        <w:numPr>
          <w:ilvl w:val="0"/>
          <w:numId w:val="1"/>
        </w:numPr>
        <w:spacing w:after="0" w:line="240" w:lineRule="auto"/>
        <w:jc w:val="both"/>
        <w:rPr>
          <w:rFonts w:cstheme="minorHAnsi"/>
          <w:sz w:val="20"/>
          <w:szCs w:val="20"/>
        </w:rPr>
      </w:pPr>
      <w:proofErr w:type="spellStart"/>
      <w:r>
        <w:t>Perie</w:t>
      </w:r>
      <w:proofErr w:type="spellEnd"/>
      <w:r>
        <w:t xml:space="preserve">, M. &amp; Huff, K. (2016). Determining content and cognitive demand for achievement tests. In S. Lane, M.R. Raymond, &amp; T.M. </w:t>
      </w:r>
      <w:proofErr w:type="spellStart"/>
      <w:r>
        <w:t>Haladyna</w:t>
      </w:r>
      <w:proofErr w:type="spellEnd"/>
      <w:r>
        <w:t xml:space="preserve"> (Eds.). (2016). Handbook of test development (pp. 119-143). New York, NY: Taylor &amp; Francis. (Note: read this if you are interested in getting more information about evidence-centered design and the use of performance-level descri</w:t>
      </w:r>
      <w:r w:rsidR="0002696A">
        <w:t>ptors (esp. in K-12 assessment)</w:t>
      </w:r>
    </w:p>
    <w:p w:rsidR="0002696A" w:rsidRPr="00316CD2" w:rsidRDefault="0002696A" w:rsidP="008E0510">
      <w:pPr>
        <w:pStyle w:val="ListParagraph"/>
        <w:numPr>
          <w:ilvl w:val="0"/>
          <w:numId w:val="1"/>
        </w:numPr>
        <w:spacing w:after="0" w:line="240" w:lineRule="auto"/>
        <w:jc w:val="both"/>
        <w:rPr>
          <w:rFonts w:cstheme="minorHAnsi"/>
          <w:sz w:val="20"/>
          <w:szCs w:val="20"/>
        </w:rPr>
      </w:pPr>
      <w:proofErr w:type="spellStart"/>
      <w:r>
        <w:t>Schmeiser</w:t>
      </w:r>
      <w:proofErr w:type="spellEnd"/>
      <w:r>
        <w:t xml:space="preserve">, C. B., &amp; Welch, C. J. (2006). Test development. In R. L. Brennan (Ed.), Educational measurement (4th ed., pp. 307-324). Westport, CT: </w:t>
      </w:r>
      <w:proofErr w:type="spellStart"/>
      <w:r>
        <w:t>Praeger</w:t>
      </w:r>
      <w:proofErr w:type="spellEnd"/>
      <w:r>
        <w:t xml:space="preserve"> Publishers.</w:t>
      </w:r>
    </w:p>
    <w:p w:rsidR="00316CD2" w:rsidRPr="00204F0D" w:rsidRDefault="00316CD2" w:rsidP="008E0510">
      <w:pPr>
        <w:pStyle w:val="ListParagraph"/>
        <w:numPr>
          <w:ilvl w:val="0"/>
          <w:numId w:val="1"/>
        </w:numPr>
        <w:spacing w:after="0" w:line="240" w:lineRule="auto"/>
        <w:jc w:val="both"/>
        <w:rPr>
          <w:rFonts w:cstheme="minorHAnsi"/>
          <w:sz w:val="20"/>
          <w:szCs w:val="20"/>
        </w:rPr>
      </w:pPr>
      <w:r>
        <w:t xml:space="preserve">Raymond, M. R. (2016). Job analysis, practice analysis, and the content of credentialing examinations. In S. Lane, M. R. Raymond, &amp; T. M. </w:t>
      </w:r>
      <w:proofErr w:type="spellStart"/>
      <w:r>
        <w:t>Haladyna</w:t>
      </w:r>
      <w:proofErr w:type="spellEnd"/>
      <w:r>
        <w:t xml:space="preserve"> (Eds.). (2016). Handbook of test development (pp. 144-164). New York, NY: Taylor &amp; Francis</w:t>
      </w:r>
    </w:p>
    <w:p w:rsidR="0098301F" w:rsidRPr="0098301F" w:rsidRDefault="00204F0D" w:rsidP="008E0510">
      <w:pPr>
        <w:pStyle w:val="ListParagraph"/>
        <w:numPr>
          <w:ilvl w:val="0"/>
          <w:numId w:val="1"/>
        </w:numPr>
        <w:spacing w:after="0" w:line="240" w:lineRule="auto"/>
        <w:jc w:val="both"/>
        <w:rPr>
          <w:rFonts w:cstheme="minorHAnsi"/>
          <w:sz w:val="20"/>
          <w:szCs w:val="20"/>
        </w:rPr>
      </w:pPr>
      <w:r>
        <w:t xml:space="preserve">Raymond, M. R. (2001). Job analysis and the specification of content for licensure and certification examinations. Applied Measurement in Education, 14(4), 369-415. </w:t>
      </w:r>
    </w:p>
    <w:p w:rsidR="0098301F" w:rsidRPr="0098301F" w:rsidRDefault="00204F0D" w:rsidP="008E0510">
      <w:pPr>
        <w:pStyle w:val="ListParagraph"/>
        <w:numPr>
          <w:ilvl w:val="0"/>
          <w:numId w:val="1"/>
        </w:numPr>
        <w:spacing w:after="0" w:line="240" w:lineRule="auto"/>
        <w:jc w:val="both"/>
        <w:rPr>
          <w:rFonts w:cstheme="minorHAnsi"/>
          <w:sz w:val="20"/>
          <w:szCs w:val="20"/>
        </w:rPr>
      </w:pPr>
      <w:r>
        <w:t xml:space="preserve">Raymond, M. R. (2002). A practical guide to practice analysis for credentialing examinations. Educational Measurement: Issues and Practice, 21(3), 25-37. </w:t>
      </w:r>
    </w:p>
    <w:p w:rsidR="00204F0D" w:rsidRPr="004D3FE7" w:rsidRDefault="00204F0D" w:rsidP="008E0510">
      <w:pPr>
        <w:pStyle w:val="ListParagraph"/>
        <w:numPr>
          <w:ilvl w:val="0"/>
          <w:numId w:val="1"/>
        </w:numPr>
        <w:spacing w:after="0" w:line="240" w:lineRule="auto"/>
        <w:jc w:val="both"/>
        <w:rPr>
          <w:rFonts w:cstheme="minorHAnsi"/>
          <w:sz w:val="20"/>
          <w:szCs w:val="20"/>
        </w:rPr>
      </w:pPr>
      <w:r>
        <w:t>Raymond, M. R. (2005). An NCME instructional module on developing and administering practice analysis questionnaires. Educational Measurement: Issues and Practice, 24(2), 29-42.</w:t>
      </w:r>
    </w:p>
    <w:p w:rsidR="004D3FE7" w:rsidRPr="004D3FE7" w:rsidRDefault="004D3FE7" w:rsidP="008E0510">
      <w:pPr>
        <w:pStyle w:val="ListParagraph"/>
        <w:numPr>
          <w:ilvl w:val="0"/>
          <w:numId w:val="1"/>
        </w:numPr>
        <w:spacing w:after="0" w:line="240" w:lineRule="auto"/>
        <w:jc w:val="both"/>
        <w:rPr>
          <w:rFonts w:cstheme="minorHAnsi"/>
          <w:sz w:val="20"/>
          <w:szCs w:val="20"/>
        </w:rPr>
      </w:pPr>
      <w:proofErr w:type="spellStart"/>
      <w:r>
        <w:lastRenderedPageBreak/>
        <w:t>Schmeiser</w:t>
      </w:r>
      <w:proofErr w:type="spellEnd"/>
      <w:r>
        <w:t xml:space="preserve">, C. B., &amp; Welch, C. J. (2006). Test development. In R. L. Brennan (Ed.), Educational measurement (4th ed., pp. 324-353). Westport, CT: </w:t>
      </w:r>
      <w:proofErr w:type="spellStart"/>
      <w:r>
        <w:t>Praeger</w:t>
      </w:r>
      <w:proofErr w:type="spellEnd"/>
      <w:r>
        <w:t xml:space="preserve"> Publishers. (Note: Read the sections of this chapter entitled “Item Development,” Item Review,” “Item Evaluation and Test Assembly,” “Test Review,” “Item Banking,” and “Quality Control.”) </w:t>
      </w:r>
    </w:p>
    <w:p w:rsidR="004D3FE7" w:rsidRPr="00063919" w:rsidRDefault="004D3FE7" w:rsidP="008E0510">
      <w:pPr>
        <w:pStyle w:val="ListParagraph"/>
        <w:numPr>
          <w:ilvl w:val="0"/>
          <w:numId w:val="1"/>
        </w:numPr>
        <w:spacing w:after="0" w:line="240" w:lineRule="auto"/>
        <w:jc w:val="both"/>
        <w:rPr>
          <w:rFonts w:cstheme="minorHAnsi"/>
          <w:sz w:val="20"/>
          <w:szCs w:val="20"/>
        </w:rPr>
      </w:pPr>
      <w:proofErr w:type="spellStart"/>
      <w:r>
        <w:t>Plake</w:t>
      </w:r>
      <w:proofErr w:type="spellEnd"/>
      <w:r>
        <w:t xml:space="preserve">, B. S. (1995). Differential item functioning in licensure tests. In J. C. </w:t>
      </w:r>
      <w:proofErr w:type="spellStart"/>
      <w:r>
        <w:t>Impara</w:t>
      </w:r>
      <w:proofErr w:type="spellEnd"/>
      <w:r>
        <w:t xml:space="preserve"> (Ed.), Licensure testing: Purposes, procedures and practices (pp. 205-218). Lincoln, NE: </w:t>
      </w:r>
      <w:proofErr w:type="spellStart"/>
      <w:r>
        <w:t>Buros</w:t>
      </w:r>
      <w:proofErr w:type="spellEnd"/>
      <w:r>
        <w:t xml:space="preserve"> Institute of Mental Measurements, University of Nebraska-Lincoln.</w:t>
      </w:r>
    </w:p>
    <w:p w:rsidR="00063919" w:rsidRPr="00D538A1" w:rsidRDefault="00063919" w:rsidP="008E0510">
      <w:pPr>
        <w:pStyle w:val="ListParagraph"/>
        <w:numPr>
          <w:ilvl w:val="0"/>
          <w:numId w:val="1"/>
        </w:numPr>
        <w:spacing w:after="0" w:line="240" w:lineRule="auto"/>
        <w:jc w:val="both"/>
        <w:rPr>
          <w:rFonts w:cstheme="minorHAnsi"/>
          <w:sz w:val="20"/>
          <w:szCs w:val="20"/>
        </w:rPr>
      </w:pPr>
      <w:r>
        <w:t xml:space="preserve">Kane, M. T. (2016). Validation strategies. In S. Lane, M. R. Raymond, &amp; T. M. </w:t>
      </w:r>
      <w:proofErr w:type="spellStart"/>
      <w:r>
        <w:t>Haladyna</w:t>
      </w:r>
      <w:proofErr w:type="spellEnd"/>
      <w:r>
        <w:t xml:space="preserve"> (Eds.). (2016). Handbook of test development (pp. 64-79). New York, NY: Taylor &amp; Francis.</w:t>
      </w:r>
    </w:p>
    <w:p w:rsidR="00D538A1" w:rsidRPr="00D538A1" w:rsidRDefault="00D538A1" w:rsidP="008E0510">
      <w:pPr>
        <w:pStyle w:val="ListParagraph"/>
        <w:numPr>
          <w:ilvl w:val="0"/>
          <w:numId w:val="1"/>
        </w:numPr>
        <w:spacing w:after="0" w:line="240" w:lineRule="auto"/>
        <w:jc w:val="both"/>
        <w:rPr>
          <w:rFonts w:cstheme="minorHAnsi"/>
          <w:sz w:val="20"/>
          <w:szCs w:val="20"/>
        </w:rPr>
      </w:pPr>
      <w:proofErr w:type="spellStart"/>
      <w:r>
        <w:t>Chapelle</w:t>
      </w:r>
      <w:proofErr w:type="spellEnd"/>
      <w:r>
        <w:t>, C. A., Enright, M. K., &amp; Jamieson, J. (2010). Does an argument-based approach to validity make a difference? Educational Measurement: Issues and Practice, 29(1), 3-13.</w:t>
      </w:r>
    </w:p>
    <w:p w:rsidR="00D538A1" w:rsidRPr="00434F76" w:rsidRDefault="00D538A1" w:rsidP="008E0510">
      <w:pPr>
        <w:pStyle w:val="ListParagraph"/>
        <w:numPr>
          <w:ilvl w:val="0"/>
          <w:numId w:val="1"/>
        </w:numPr>
        <w:spacing w:after="0" w:line="240" w:lineRule="auto"/>
        <w:jc w:val="both"/>
        <w:rPr>
          <w:rFonts w:cstheme="minorHAnsi"/>
          <w:sz w:val="20"/>
          <w:szCs w:val="20"/>
        </w:rPr>
      </w:pPr>
      <w:r>
        <w:t>Nichols, P. D., &amp; Williams, N. (2009). Consequences of test score use as validity evidence: Roles and responsibilities. Educational Measurement: Issues and Practice, 28(1), 3-9.</w:t>
      </w:r>
    </w:p>
    <w:p w:rsidR="00434F76" w:rsidRPr="006E75C7" w:rsidRDefault="00434F76" w:rsidP="008E0510">
      <w:pPr>
        <w:pStyle w:val="ListParagraph"/>
        <w:numPr>
          <w:ilvl w:val="0"/>
          <w:numId w:val="1"/>
        </w:numPr>
        <w:spacing w:after="0" w:line="240" w:lineRule="auto"/>
        <w:jc w:val="both"/>
        <w:rPr>
          <w:rFonts w:cstheme="minorHAnsi"/>
          <w:sz w:val="20"/>
          <w:szCs w:val="20"/>
        </w:rPr>
      </w:pPr>
      <w:proofErr w:type="spellStart"/>
      <w:r>
        <w:t>Parkes</w:t>
      </w:r>
      <w:proofErr w:type="spellEnd"/>
      <w:r>
        <w:t xml:space="preserve">, J. (2007) Reliability as argument. Educational Measurement: Issues and Practice, 26(4), 2-10. </w:t>
      </w:r>
      <w:proofErr w:type="spellStart"/>
      <w:r>
        <w:t>Traub</w:t>
      </w:r>
      <w:proofErr w:type="spellEnd"/>
      <w:r>
        <w:t>, R. E., &amp; Rowley, G. L. (1991). Understanding reliability. Educational Measurement: Issues and Practice, 10(1), 37-45.</w:t>
      </w:r>
    </w:p>
    <w:p w:rsidR="006E75C7" w:rsidRPr="006E75C7" w:rsidRDefault="006E75C7" w:rsidP="008E0510">
      <w:pPr>
        <w:pStyle w:val="ListParagraph"/>
        <w:numPr>
          <w:ilvl w:val="0"/>
          <w:numId w:val="1"/>
        </w:numPr>
        <w:spacing w:after="0" w:line="240" w:lineRule="auto"/>
        <w:jc w:val="both"/>
        <w:rPr>
          <w:rFonts w:cstheme="minorHAnsi"/>
          <w:sz w:val="20"/>
          <w:szCs w:val="20"/>
        </w:rPr>
      </w:pPr>
      <w:proofErr w:type="spellStart"/>
      <w:r>
        <w:t>McCallin</w:t>
      </w:r>
      <w:proofErr w:type="spellEnd"/>
      <w:r>
        <w:t xml:space="preserve">, R. C. (2016). Test administration. In S. Lane, M. R. Raymond &amp; T. M. </w:t>
      </w:r>
      <w:proofErr w:type="spellStart"/>
      <w:r>
        <w:t>Haladyna</w:t>
      </w:r>
      <w:proofErr w:type="spellEnd"/>
      <w:r>
        <w:t xml:space="preserve"> (Eds.) Handbook of test development 2nd edition (pp. 567-584). New York, NY: </w:t>
      </w:r>
      <w:proofErr w:type="spellStart"/>
      <w:r>
        <w:t>Routledge</w:t>
      </w:r>
      <w:proofErr w:type="spellEnd"/>
      <w:r>
        <w:t xml:space="preserve">. </w:t>
      </w:r>
      <w:proofErr w:type="spellStart"/>
      <w:r>
        <w:t>Zenisky</w:t>
      </w:r>
      <w:proofErr w:type="spellEnd"/>
      <w:r>
        <w:t xml:space="preserve">, A. L., &amp; </w:t>
      </w:r>
      <w:proofErr w:type="spellStart"/>
      <w:r>
        <w:t>Hambleton</w:t>
      </w:r>
      <w:proofErr w:type="spellEnd"/>
      <w:r>
        <w:t xml:space="preserve">, R. K. (2016). A model for good practice in score reporting. In S. Lane, M. R. Raymond &amp; T. M. </w:t>
      </w:r>
      <w:proofErr w:type="spellStart"/>
      <w:r>
        <w:t>Haladyna</w:t>
      </w:r>
      <w:proofErr w:type="spellEnd"/>
      <w:r>
        <w:t xml:space="preserve"> (Eds.) Handbook of test development 2nd edition (pp. 585-602). New York, NY: </w:t>
      </w:r>
      <w:proofErr w:type="spellStart"/>
      <w:r>
        <w:t>Routledge</w:t>
      </w:r>
      <w:proofErr w:type="spellEnd"/>
      <w:r>
        <w:t>.</w:t>
      </w:r>
    </w:p>
    <w:p w:rsidR="006E75C7" w:rsidRPr="00E47E16" w:rsidRDefault="006E75C7" w:rsidP="008E0510">
      <w:pPr>
        <w:pStyle w:val="ListParagraph"/>
        <w:numPr>
          <w:ilvl w:val="0"/>
          <w:numId w:val="1"/>
        </w:numPr>
        <w:spacing w:after="0" w:line="240" w:lineRule="auto"/>
        <w:jc w:val="both"/>
        <w:rPr>
          <w:rFonts w:cstheme="minorHAnsi"/>
          <w:sz w:val="20"/>
          <w:szCs w:val="20"/>
        </w:rPr>
      </w:pPr>
      <w:proofErr w:type="spellStart"/>
      <w:r>
        <w:t>Allalouf</w:t>
      </w:r>
      <w:proofErr w:type="spellEnd"/>
      <w:r>
        <w:t>, A. (2007). Quality control procedures in the scoring, equating, and reporting of test scores. Educational Measurement: Issues and Practice, 26(1), 36-43.</w:t>
      </w:r>
    </w:p>
    <w:p w:rsidR="002E0B29" w:rsidRPr="002E0B29" w:rsidRDefault="00E47E16" w:rsidP="008E0510">
      <w:pPr>
        <w:pStyle w:val="ListParagraph"/>
        <w:numPr>
          <w:ilvl w:val="0"/>
          <w:numId w:val="1"/>
        </w:numPr>
        <w:spacing w:after="0" w:line="240" w:lineRule="auto"/>
        <w:jc w:val="both"/>
        <w:rPr>
          <w:rFonts w:cstheme="minorHAnsi"/>
          <w:sz w:val="20"/>
          <w:szCs w:val="20"/>
        </w:rPr>
      </w:pPr>
      <w:r>
        <w:t xml:space="preserve">Cohen, A. S., &amp; </w:t>
      </w:r>
      <w:proofErr w:type="spellStart"/>
      <w:r>
        <w:t>Wollack</w:t>
      </w:r>
      <w:proofErr w:type="spellEnd"/>
      <w:r>
        <w:t xml:space="preserve">, J. A. (2006). Test administration, security, scoring, and reporting. In R. L. Brennan (Ed.), Educational measurement (4th ed., pp. 355-386). Westport, CT: </w:t>
      </w:r>
      <w:proofErr w:type="spellStart"/>
      <w:r>
        <w:t>Praeger</w:t>
      </w:r>
      <w:proofErr w:type="spellEnd"/>
      <w:r>
        <w:t xml:space="preserve"> Publishers.</w:t>
      </w:r>
    </w:p>
    <w:p w:rsidR="002E0B29" w:rsidRPr="002E0B29" w:rsidRDefault="002E0B29" w:rsidP="008E0510">
      <w:pPr>
        <w:pStyle w:val="ListParagraph"/>
        <w:numPr>
          <w:ilvl w:val="0"/>
          <w:numId w:val="1"/>
        </w:numPr>
        <w:spacing w:after="0" w:line="240" w:lineRule="auto"/>
        <w:jc w:val="both"/>
        <w:rPr>
          <w:rFonts w:cstheme="minorHAnsi"/>
          <w:sz w:val="20"/>
          <w:szCs w:val="20"/>
        </w:rPr>
      </w:pPr>
      <w:r>
        <w:t xml:space="preserve"> </w:t>
      </w:r>
      <w:r>
        <w:t xml:space="preserve">Holland, P. W., &amp; </w:t>
      </w:r>
      <w:proofErr w:type="spellStart"/>
      <w:r>
        <w:t>Dorans</w:t>
      </w:r>
      <w:proofErr w:type="spellEnd"/>
      <w:r>
        <w:t xml:space="preserve">, N. J. (2006). Linking and equating. In R. L. Brennan (Ed.), Educational measurement (4th ed., pp. 187-220). Westport, CT: </w:t>
      </w:r>
      <w:proofErr w:type="spellStart"/>
      <w:r>
        <w:t>Praeger</w:t>
      </w:r>
      <w:proofErr w:type="spellEnd"/>
      <w:r>
        <w:t xml:space="preserve"> Publishers.</w:t>
      </w:r>
    </w:p>
    <w:p w:rsidR="00E47E16" w:rsidRPr="00D00B62" w:rsidRDefault="002E0B29" w:rsidP="008E0510">
      <w:pPr>
        <w:pStyle w:val="ListParagraph"/>
        <w:numPr>
          <w:ilvl w:val="0"/>
          <w:numId w:val="1"/>
        </w:numPr>
        <w:spacing w:after="0" w:line="240" w:lineRule="auto"/>
        <w:jc w:val="both"/>
        <w:rPr>
          <w:rFonts w:cstheme="minorHAnsi"/>
          <w:sz w:val="20"/>
          <w:szCs w:val="20"/>
        </w:rPr>
      </w:pPr>
      <w:r>
        <w:t xml:space="preserve"> </w:t>
      </w:r>
      <w:proofErr w:type="spellStart"/>
      <w:r>
        <w:t>Kolen</w:t>
      </w:r>
      <w:proofErr w:type="spellEnd"/>
      <w:r>
        <w:t>, M. J., &amp; Brennan, R. L. (1995). Introduction and concepts. In Test equating: Methods and practices (pp. 1- 27). New York: Springer-</w:t>
      </w:r>
      <w:proofErr w:type="spellStart"/>
      <w:r>
        <w:t>Verlag</w:t>
      </w:r>
      <w:proofErr w:type="spellEnd"/>
      <w:r>
        <w:t>, Inc.</w:t>
      </w:r>
    </w:p>
    <w:p w:rsidR="00D00B62" w:rsidRPr="00F86726" w:rsidRDefault="00D00B62" w:rsidP="008E0510">
      <w:pPr>
        <w:pStyle w:val="ListParagraph"/>
        <w:numPr>
          <w:ilvl w:val="0"/>
          <w:numId w:val="1"/>
        </w:numPr>
        <w:spacing w:after="0" w:line="240" w:lineRule="auto"/>
        <w:jc w:val="both"/>
        <w:rPr>
          <w:rFonts w:cstheme="minorHAnsi"/>
          <w:sz w:val="20"/>
          <w:szCs w:val="20"/>
        </w:rPr>
      </w:pPr>
      <w:r>
        <w:t xml:space="preserve">Tong, Y., &amp; </w:t>
      </w:r>
      <w:proofErr w:type="spellStart"/>
      <w:r>
        <w:t>Kolen</w:t>
      </w:r>
      <w:proofErr w:type="spellEnd"/>
      <w:r>
        <w:t>, M. J. (2010). Scaling: An ITEMS module. Educational Measurement: Is</w:t>
      </w:r>
      <w:r w:rsidR="00F86726">
        <w:t>sues and Practice, 29(4), 39-48.</w:t>
      </w:r>
    </w:p>
    <w:p w:rsidR="00F86726" w:rsidRPr="00494B4D" w:rsidRDefault="00F86726" w:rsidP="008E0510">
      <w:pPr>
        <w:pStyle w:val="ListParagraph"/>
        <w:numPr>
          <w:ilvl w:val="0"/>
          <w:numId w:val="1"/>
        </w:numPr>
        <w:spacing w:after="0" w:line="240" w:lineRule="auto"/>
        <w:jc w:val="both"/>
        <w:rPr>
          <w:rFonts w:cstheme="minorHAnsi"/>
          <w:sz w:val="20"/>
          <w:szCs w:val="20"/>
        </w:rPr>
      </w:pPr>
      <w:proofErr w:type="spellStart"/>
      <w:r>
        <w:t>Cizek</w:t>
      </w:r>
      <w:proofErr w:type="spellEnd"/>
      <w:r>
        <w:t xml:space="preserve">, G. J. &amp; Earnest, D. S. (2016). Setting performance standards on tests. In S. Lane, M. R. Raymond &amp; T. M. </w:t>
      </w:r>
      <w:proofErr w:type="spellStart"/>
      <w:r>
        <w:t>Haladyna</w:t>
      </w:r>
      <w:proofErr w:type="spellEnd"/>
      <w:r>
        <w:t xml:space="preserve"> (Eds.) Handbook of test development 2nd edition (pp. 212-237). New York, NY: </w:t>
      </w:r>
      <w:proofErr w:type="spellStart"/>
      <w:r>
        <w:t>Routledge</w:t>
      </w:r>
      <w:proofErr w:type="spellEnd"/>
    </w:p>
    <w:p w:rsidR="00494B4D" w:rsidRPr="003A6836" w:rsidRDefault="00494B4D" w:rsidP="008E0510">
      <w:pPr>
        <w:pStyle w:val="ListParagraph"/>
        <w:numPr>
          <w:ilvl w:val="0"/>
          <w:numId w:val="1"/>
        </w:numPr>
        <w:spacing w:after="0" w:line="240" w:lineRule="auto"/>
        <w:jc w:val="both"/>
        <w:rPr>
          <w:rFonts w:cstheme="minorHAnsi"/>
          <w:sz w:val="20"/>
          <w:szCs w:val="20"/>
        </w:rPr>
      </w:pPr>
      <w:proofErr w:type="spellStart"/>
      <w:r>
        <w:t>Hambleton</w:t>
      </w:r>
      <w:proofErr w:type="spellEnd"/>
      <w:r>
        <w:t xml:space="preserve">, R. K., &amp; </w:t>
      </w:r>
      <w:proofErr w:type="spellStart"/>
      <w:r>
        <w:t>Pitoniak</w:t>
      </w:r>
      <w:proofErr w:type="spellEnd"/>
      <w:r>
        <w:t xml:space="preserve">, M. J. (2006). Setting performance standards. In R. L. Brennan (Ed.), Educational measurement (4th ed., pp. 433-470). Westport, CT: </w:t>
      </w:r>
      <w:proofErr w:type="spellStart"/>
      <w:r>
        <w:t>Praeger</w:t>
      </w:r>
      <w:proofErr w:type="spellEnd"/>
      <w:r>
        <w:t xml:space="preserve"> Publishers.</w:t>
      </w:r>
    </w:p>
    <w:p w:rsidR="008A0F91" w:rsidRPr="008A0F91" w:rsidRDefault="003A6836" w:rsidP="008E0510">
      <w:pPr>
        <w:pStyle w:val="ListParagraph"/>
        <w:numPr>
          <w:ilvl w:val="0"/>
          <w:numId w:val="1"/>
        </w:numPr>
        <w:spacing w:after="0" w:line="240" w:lineRule="auto"/>
        <w:jc w:val="both"/>
        <w:rPr>
          <w:rFonts w:cstheme="minorHAnsi"/>
          <w:sz w:val="20"/>
          <w:szCs w:val="20"/>
        </w:rPr>
      </w:pPr>
      <w:proofErr w:type="spellStart"/>
      <w:r>
        <w:t>Camilli</w:t>
      </w:r>
      <w:proofErr w:type="spellEnd"/>
      <w:r>
        <w:t xml:space="preserve">, G. (2006). Test fairness. In R. L. Brennan (Ed.), Educational measurement (4th ed., pp. 221-256). Westport, CT: </w:t>
      </w:r>
      <w:proofErr w:type="spellStart"/>
      <w:r>
        <w:t>Praeger</w:t>
      </w:r>
      <w:proofErr w:type="spellEnd"/>
      <w:r>
        <w:t xml:space="preserve"> Publishers.</w:t>
      </w:r>
    </w:p>
    <w:p w:rsidR="008A0F91" w:rsidRPr="008A0F91" w:rsidRDefault="008A0F91" w:rsidP="008E0510">
      <w:pPr>
        <w:pStyle w:val="ListParagraph"/>
        <w:numPr>
          <w:ilvl w:val="0"/>
          <w:numId w:val="1"/>
        </w:numPr>
        <w:spacing w:after="0" w:line="240" w:lineRule="auto"/>
        <w:jc w:val="both"/>
        <w:rPr>
          <w:rFonts w:cstheme="minorHAnsi"/>
          <w:sz w:val="20"/>
          <w:szCs w:val="20"/>
        </w:rPr>
      </w:pPr>
      <w:r>
        <w:t xml:space="preserve"> </w:t>
      </w:r>
      <w:proofErr w:type="spellStart"/>
      <w:r>
        <w:t>Cizek</w:t>
      </w:r>
      <w:proofErr w:type="spellEnd"/>
      <w:r>
        <w:t xml:space="preserve">. G. J. (1999). Detecting cheating on tests. In Cheating on tests: How to do it, detect it, and prevent it (pp. 127- 150). Mahwah, NJ: Lawrence Erlbaum Associates, Publishers. </w:t>
      </w:r>
    </w:p>
    <w:p w:rsidR="008A0F91" w:rsidRPr="008A0F91" w:rsidRDefault="008A0F91" w:rsidP="008E0510">
      <w:pPr>
        <w:pStyle w:val="ListParagraph"/>
        <w:numPr>
          <w:ilvl w:val="0"/>
          <w:numId w:val="1"/>
        </w:numPr>
        <w:spacing w:after="0" w:line="240" w:lineRule="auto"/>
        <w:jc w:val="both"/>
        <w:rPr>
          <w:rFonts w:cstheme="minorHAnsi"/>
          <w:sz w:val="20"/>
          <w:szCs w:val="20"/>
        </w:rPr>
      </w:pPr>
      <w:proofErr w:type="spellStart"/>
      <w:r>
        <w:t>Cizek</w:t>
      </w:r>
      <w:proofErr w:type="spellEnd"/>
      <w:r>
        <w:t xml:space="preserve">. G. J. (1999). Responding to cheating. In Cheating on tests: How to do it, detect it, and prevent it (pp. 151- 162). Mahwah, NJ: Lawrence Erlbaum Associates, Publishers. </w:t>
      </w:r>
    </w:p>
    <w:p w:rsidR="008A0F91" w:rsidRPr="008A0F91" w:rsidRDefault="008A0F91" w:rsidP="008E0510">
      <w:pPr>
        <w:pStyle w:val="ListParagraph"/>
        <w:numPr>
          <w:ilvl w:val="0"/>
          <w:numId w:val="1"/>
        </w:numPr>
        <w:spacing w:after="0" w:line="240" w:lineRule="auto"/>
        <w:jc w:val="both"/>
        <w:rPr>
          <w:rFonts w:cstheme="minorHAnsi"/>
          <w:sz w:val="20"/>
          <w:szCs w:val="20"/>
        </w:rPr>
      </w:pPr>
      <w:r>
        <w:t xml:space="preserve">Goodman, D. P., &amp; </w:t>
      </w:r>
      <w:proofErr w:type="spellStart"/>
      <w:r>
        <w:t>Hambleton</w:t>
      </w:r>
      <w:proofErr w:type="spellEnd"/>
      <w:r>
        <w:t xml:space="preserve">, R. K. (2004). Student test score reports and interpretive guides: Review of current practices and suggestions for future research. Applied Measurement in Education, 17(2), 145-220. </w:t>
      </w:r>
    </w:p>
    <w:p w:rsidR="003A6836" w:rsidRPr="002C5282" w:rsidRDefault="008A0F91" w:rsidP="008E0510">
      <w:pPr>
        <w:pStyle w:val="ListParagraph"/>
        <w:numPr>
          <w:ilvl w:val="0"/>
          <w:numId w:val="1"/>
        </w:numPr>
        <w:spacing w:after="0" w:line="240" w:lineRule="auto"/>
        <w:jc w:val="both"/>
        <w:rPr>
          <w:rFonts w:cstheme="minorHAnsi"/>
          <w:sz w:val="20"/>
          <w:szCs w:val="20"/>
        </w:rPr>
      </w:pPr>
      <w:proofErr w:type="spellStart"/>
      <w:r>
        <w:t>Hambleton</w:t>
      </w:r>
      <w:proofErr w:type="spellEnd"/>
      <w:r>
        <w:t>, R. K. (2007, June 18). A new challenge: Making test score reports more understandable and useful [PowerPoint presentation].</w:t>
      </w:r>
    </w:p>
    <w:p w:rsidR="004B2E1A" w:rsidRDefault="004B2E1A" w:rsidP="004B2E1A">
      <w:pPr>
        <w:pStyle w:val="ListParagraph"/>
        <w:shd w:val="clear" w:color="auto" w:fill="FFFFFF"/>
        <w:spacing w:after="0" w:line="240" w:lineRule="auto"/>
        <w:rPr>
          <w:rFonts w:eastAsia="Times New Roman" w:cstheme="minorHAnsi"/>
          <w:sz w:val="20"/>
          <w:szCs w:val="20"/>
        </w:rPr>
      </w:pPr>
    </w:p>
    <w:p w:rsidR="003A6836" w:rsidRDefault="003A6836" w:rsidP="004B2E1A">
      <w:pPr>
        <w:pStyle w:val="ListParagraph"/>
        <w:shd w:val="clear" w:color="auto" w:fill="FFFFFF"/>
        <w:spacing w:after="0" w:line="240" w:lineRule="auto"/>
        <w:rPr>
          <w:rFonts w:eastAsia="Times New Roman" w:cstheme="minorHAnsi"/>
          <w:sz w:val="20"/>
          <w:szCs w:val="20"/>
        </w:rPr>
      </w:pPr>
    </w:p>
    <w:p w:rsidR="002E0B29" w:rsidRDefault="002E0B29" w:rsidP="004B2E1A">
      <w:pPr>
        <w:pStyle w:val="ListParagraph"/>
        <w:shd w:val="clear" w:color="auto" w:fill="FFFFFF"/>
        <w:spacing w:after="0" w:line="240" w:lineRule="auto"/>
        <w:rPr>
          <w:rFonts w:eastAsia="Times New Roman" w:cstheme="minorHAnsi"/>
          <w:sz w:val="20"/>
          <w:szCs w:val="20"/>
        </w:rPr>
      </w:pPr>
    </w:p>
    <w:p w:rsidR="008E0510" w:rsidRPr="002C5282" w:rsidRDefault="008E0510" w:rsidP="008E0510">
      <w:pPr>
        <w:spacing w:after="0" w:line="240" w:lineRule="auto"/>
        <w:jc w:val="both"/>
        <w:rPr>
          <w:rFonts w:cstheme="minorHAnsi"/>
          <w:b/>
          <w:bCs/>
          <w:sz w:val="20"/>
          <w:szCs w:val="20"/>
          <w:u w:val="single"/>
        </w:rPr>
      </w:pPr>
    </w:p>
    <w:p w:rsidR="008E0510" w:rsidRPr="00E71815" w:rsidRDefault="008E0510" w:rsidP="008E0510">
      <w:pPr>
        <w:tabs>
          <w:tab w:val="left" w:pos="930"/>
        </w:tabs>
        <w:spacing w:after="0"/>
        <w:rPr>
          <w:rFonts w:ascii="Times New Roman" w:hAnsi="Times New Roman" w:cs="Times New Roman"/>
          <w:b/>
          <w:sz w:val="24"/>
          <w:szCs w:val="24"/>
          <w:u w:val="single"/>
        </w:rPr>
      </w:pPr>
      <w:r w:rsidRPr="00E71815">
        <w:rPr>
          <w:rFonts w:ascii="Times New Roman" w:hAnsi="Times New Roman" w:cs="Times New Roman"/>
          <w:b/>
          <w:sz w:val="24"/>
          <w:szCs w:val="24"/>
          <w:u w:val="single"/>
        </w:rPr>
        <w:t>Grade Evaluation Criteria</w:t>
      </w:r>
    </w:p>
    <w:p w:rsidR="008E0510" w:rsidRPr="00E71815" w:rsidRDefault="008E0510" w:rsidP="008E0510">
      <w:pPr>
        <w:tabs>
          <w:tab w:val="left" w:pos="930"/>
        </w:tabs>
        <w:spacing w:after="0"/>
        <w:rPr>
          <w:rFonts w:ascii="Times New Roman" w:hAnsi="Times New Roman" w:cs="Times New Roman"/>
          <w:sz w:val="24"/>
          <w:szCs w:val="24"/>
        </w:rPr>
      </w:pPr>
      <w:r w:rsidRPr="00E71815">
        <w:rPr>
          <w:rFonts w:ascii="Times New Roman" w:hAnsi="Times New Roman" w:cs="Times New Roman"/>
          <w:sz w:val="24"/>
          <w:szCs w:val="24"/>
        </w:rPr>
        <w:t>Following is the criteria for the distribution of marks to evaluate final grade in a semester.</w:t>
      </w:r>
    </w:p>
    <w:p w:rsidR="008E0510" w:rsidRPr="00E71815" w:rsidRDefault="008E0510" w:rsidP="008E0510">
      <w:pPr>
        <w:tabs>
          <w:tab w:val="left" w:pos="930"/>
        </w:tabs>
        <w:spacing w:after="0" w:line="240" w:lineRule="auto"/>
        <w:rPr>
          <w:rFonts w:ascii="Times New Roman" w:hAnsi="Times New Roman" w:cs="Times New Roman"/>
          <w:b/>
          <w:sz w:val="24"/>
          <w:szCs w:val="24"/>
        </w:rPr>
      </w:pPr>
      <w:r w:rsidRPr="00E71815">
        <w:rPr>
          <w:rFonts w:ascii="Times New Roman" w:hAnsi="Times New Roman" w:cs="Times New Roman"/>
          <w:b/>
          <w:sz w:val="24"/>
          <w:szCs w:val="24"/>
        </w:rPr>
        <w:t>Marks Evaluation</w:t>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t>Marks in percentage</w:t>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p>
    <w:p w:rsidR="008E0510" w:rsidRPr="00E71815" w:rsidRDefault="008E0510" w:rsidP="008E0510">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Class activities  </w:t>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t xml:space="preserve">                        15</w:t>
      </w:r>
    </w:p>
    <w:p w:rsidR="008E0510" w:rsidRPr="00E71815" w:rsidRDefault="008E0510" w:rsidP="008E0510">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Mid Term exam </w:t>
      </w:r>
      <w:r w:rsidRPr="00E71815">
        <w:rPr>
          <w:rFonts w:ascii="Times New Roman" w:hAnsi="Times New Roman" w:cs="Times New Roman"/>
          <w:sz w:val="24"/>
          <w:szCs w:val="24"/>
        </w:rPr>
        <w:tab/>
        <w:t xml:space="preserve">                                                                                    25</w:t>
      </w:r>
    </w:p>
    <w:p w:rsidR="008E0510" w:rsidRPr="00E71815" w:rsidRDefault="008E0510" w:rsidP="008E051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presentation </w:t>
      </w:r>
      <w:r w:rsidRPr="00E718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1815">
        <w:rPr>
          <w:rFonts w:ascii="Times New Roman" w:hAnsi="Times New Roman" w:cs="Times New Roman"/>
          <w:sz w:val="24"/>
          <w:szCs w:val="24"/>
        </w:rPr>
        <w:t>30</w:t>
      </w:r>
    </w:p>
    <w:p w:rsidR="008E0510" w:rsidRPr="00E71815" w:rsidRDefault="008E0510" w:rsidP="008E0510">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Final term Project </w:t>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t xml:space="preserve">                                                30</w:t>
      </w:r>
    </w:p>
    <w:p w:rsidR="008E0510" w:rsidRPr="00E71815" w:rsidRDefault="008E0510" w:rsidP="008E0510">
      <w:pPr>
        <w:tabs>
          <w:tab w:val="left" w:pos="930"/>
        </w:tabs>
        <w:spacing w:after="0" w:line="240" w:lineRule="auto"/>
        <w:rPr>
          <w:rFonts w:ascii="Times New Roman" w:hAnsi="Times New Roman" w:cs="Times New Roman"/>
          <w:b/>
          <w:sz w:val="24"/>
          <w:szCs w:val="24"/>
          <w:u w:val="single"/>
        </w:rPr>
      </w:pPr>
      <w:r w:rsidRPr="00E71815">
        <w:rPr>
          <w:rFonts w:ascii="Times New Roman" w:hAnsi="Times New Roman" w:cs="Times New Roman"/>
          <w:sz w:val="24"/>
          <w:szCs w:val="24"/>
        </w:rPr>
        <w:t>Total</w:t>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b/>
          <w:sz w:val="24"/>
          <w:szCs w:val="24"/>
          <w:u w:val="single"/>
        </w:rPr>
        <w:t>100</w:t>
      </w:r>
    </w:p>
    <w:p w:rsidR="008E0510" w:rsidRDefault="008E0510" w:rsidP="008E0510">
      <w:pPr>
        <w:spacing w:after="0"/>
        <w:ind w:left="720"/>
        <w:jc w:val="center"/>
        <w:rPr>
          <w:rFonts w:cstheme="minorHAnsi"/>
          <w:b/>
          <w:sz w:val="24"/>
          <w:szCs w:val="24"/>
          <w:u w:val="single"/>
        </w:rPr>
      </w:pPr>
    </w:p>
    <w:p w:rsidR="008E0510" w:rsidRDefault="008E0510" w:rsidP="008E0510">
      <w:pPr>
        <w:spacing w:after="0"/>
        <w:ind w:left="720"/>
        <w:jc w:val="center"/>
        <w:rPr>
          <w:rFonts w:cstheme="minorHAnsi"/>
          <w:b/>
          <w:sz w:val="24"/>
          <w:szCs w:val="24"/>
          <w:u w:val="single"/>
        </w:rPr>
      </w:pPr>
    </w:p>
    <w:p w:rsidR="008E0510" w:rsidRPr="00490C14" w:rsidRDefault="008E0510" w:rsidP="008E0510">
      <w:pPr>
        <w:spacing w:after="0"/>
        <w:ind w:left="720"/>
        <w:jc w:val="center"/>
        <w:rPr>
          <w:rFonts w:cstheme="minorHAnsi"/>
          <w:b/>
          <w:sz w:val="24"/>
          <w:szCs w:val="24"/>
          <w:u w:val="single"/>
        </w:rPr>
      </w:pPr>
      <w:r w:rsidRPr="00490C14">
        <w:rPr>
          <w:rFonts w:cstheme="minorHAnsi"/>
          <w:b/>
          <w:sz w:val="24"/>
          <w:szCs w:val="24"/>
          <w:u w:val="single"/>
        </w:rPr>
        <w:t>Calendar of Course contents to be covered during semester</w:t>
      </w:r>
    </w:p>
    <w:tbl>
      <w:tblPr>
        <w:tblW w:w="111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6840"/>
        <w:gridCol w:w="3465"/>
      </w:tblGrid>
      <w:tr w:rsidR="008E0510" w:rsidRPr="00D07B49" w:rsidTr="00A137B2">
        <w:trPr>
          <w:trHeight w:val="600"/>
        </w:trPr>
        <w:tc>
          <w:tcPr>
            <w:tcW w:w="810" w:type="dxa"/>
          </w:tcPr>
          <w:p w:rsidR="008E0510" w:rsidRPr="00D07B49" w:rsidRDefault="008E0510" w:rsidP="00A137B2">
            <w:pPr>
              <w:spacing w:after="0" w:line="360" w:lineRule="auto"/>
              <w:rPr>
                <w:rFonts w:cstheme="minorHAnsi"/>
                <w:b/>
                <w:sz w:val="20"/>
                <w:szCs w:val="20"/>
              </w:rPr>
            </w:pPr>
            <w:r w:rsidRPr="00D07B49">
              <w:rPr>
                <w:rFonts w:cstheme="minorHAnsi"/>
                <w:b/>
                <w:sz w:val="20"/>
                <w:szCs w:val="20"/>
              </w:rPr>
              <w:t>Week</w:t>
            </w:r>
          </w:p>
        </w:tc>
        <w:tc>
          <w:tcPr>
            <w:tcW w:w="6840" w:type="dxa"/>
          </w:tcPr>
          <w:p w:rsidR="008E0510" w:rsidRDefault="008E0510" w:rsidP="00A137B2">
            <w:pPr>
              <w:spacing w:after="0" w:line="360" w:lineRule="auto"/>
              <w:rPr>
                <w:rFonts w:cstheme="minorHAnsi"/>
                <w:b/>
                <w:sz w:val="20"/>
                <w:szCs w:val="20"/>
              </w:rPr>
            </w:pPr>
            <w:r w:rsidRPr="00D07B49">
              <w:rPr>
                <w:rFonts w:cstheme="minorHAnsi"/>
                <w:b/>
                <w:sz w:val="20"/>
                <w:szCs w:val="20"/>
              </w:rPr>
              <w:t xml:space="preserve">                                Activity</w:t>
            </w:r>
            <w:r>
              <w:rPr>
                <w:rFonts w:cstheme="minorHAnsi"/>
                <w:b/>
                <w:sz w:val="20"/>
                <w:szCs w:val="20"/>
              </w:rPr>
              <w:t xml:space="preserve">                                               objectives of lesson </w:t>
            </w:r>
          </w:p>
          <w:p w:rsidR="008E0510" w:rsidRPr="00D07B49" w:rsidRDefault="008E0510" w:rsidP="00A137B2">
            <w:pPr>
              <w:spacing w:after="0" w:line="360" w:lineRule="auto"/>
              <w:rPr>
                <w:rFonts w:cstheme="minorHAnsi"/>
                <w:b/>
                <w:sz w:val="20"/>
                <w:szCs w:val="20"/>
              </w:rPr>
            </w:pPr>
            <w:r>
              <w:rPr>
                <w:rFonts w:cstheme="minorHAnsi"/>
                <w:b/>
                <w:sz w:val="20"/>
                <w:szCs w:val="20"/>
              </w:rPr>
              <w:t xml:space="preserve">                                                                                                 Assessment procedure </w:t>
            </w:r>
          </w:p>
        </w:tc>
        <w:tc>
          <w:tcPr>
            <w:tcW w:w="3465" w:type="dxa"/>
          </w:tcPr>
          <w:p w:rsidR="008E0510" w:rsidRPr="00D07B49" w:rsidRDefault="008E0510" w:rsidP="00A137B2">
            <w:pPr>
              <w:spacing w:after="0" w:line="360" w:lineRule="auto"/>
              <w:rPr>
                <w:rFonts w:cstheme="minorHAnsi"/>
                <w:b/>
                <w:sz w:val="20"/>
                <w:szCs w:val="20"/>
              </w:rPr>
            </w:pPr>
            <w:r w:rsidRPr="00D07B49">
              <w:rPr>
                <w:rFonts w:cstheme="minorHAnsi"/>
                <w:b/>
                <w:sz w:val="20"/>
                <w:szCs w:val="20"/>
              </w:rPr>
              <w:t xml:space="preserve">        Reference</w:t>
            </w:r>
          </w:p>
        </w:tc>
      </w:tr>
      <w:tr w:rsidR="008E0510" w:rsidRPr="00D07B49" w:rsidTr="00A137B2">
        <w:trPr>
          <w:trHeight w:val="548"/>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1</w:t>
            </w:r>
          </w:p>
        </w:tc>
        <w:tc>
          <w:tcPr>
            <w:tcW w:w="6840" w:type="dxa"/>
          </w:tcPr>
          <w:p w:rsidR="008E0510" w:rsidRPr="00D07B49" w:rsidRDefault="00083398" w:rsidP="00C96834">
            <w:pPr>
              <w:tabs>
                <w:tab w:val="left" w:pos="432"/>
              </w:tabs>
              <w:spacing w:after="60"/>
              <w:rPr>
                <w:rFonts w:cstheme="minorHAnsi"/>
                <w:color w:val="000000"/>
                <w:sz w:val="20"/>
                <w:szCs w:val="20"/>
              </w:rPr>
            </w:pPr>
            <w:r>
              <w:t>Test Design and Development</w:t>
            </w:r>
            <w:r w:rsidR="00C96834">
              <w:t xml:space="preserve"> </w:t>
            </w:r>
          </w:p>
        </w:tc>
        <w:tc>
          <w:tcPr>
            <w:tcW w:w="3465" w:type="dxa"/>
          </w:tcPr>
          <w:p w:rsidR="008E0510" w:rsidRPr="00D07B49" w:rsidRDefault="00C96834" w:rsidP="00A137B2">
            <w:pPr>
              <w:spacing w:after="0" w:line="360" w:lineRule="auto"/>
              <w:rPr>
                <w:rFonts w:cstheme="minorHAnsi"/>
                <w:b/>
                <w:i/>
                <w:sz w:val="20"/>
                <w:szCs w:val="20"/>
              </w:rPr>
            </w:pPr>
            <w:r>
              <w:t>Purpose of test and de</w:t>
            </w:r>
            <w:r>
              <w:t>velopment of test specification</w:t>
            </w:r>
          </w:p>
        </w:tc>
      </w:tr>
      <w:tr w:rsidR="008E0510" w:rsidRPr="00D07B49" w:rsidTr="00A137B2">
        <w:trPr>
          <w:trHeight w:val="548"/>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2</w:t>
            </w:r>
          </w:p>
        </w:tc>
        <w:tc>
          <w:tcPr>
            <w:tcW w:w="6840" w:type="dxa"/>
          </w:tcPr>
          <w:p w:rsidR="008E0510" w:rsidRPr="00D07B49" w:rsidRDefault="007A09AD" w:rsidP="00C96834">
            <w:pPr>
              <w:autoSpaceDE w:val="0"/>
              <w:autoSpaceDN w:val="0"/>
              <w:adjustRightInd w:val="0"/>
              <w:spacing w:after="0" w:line="240" w:lineRule="auto"/>
              <w:rPr>
                <w:rFonts w:eastAsiaTheme="minorHAnsi" w:cstheme="minorHAnsi"/>
                <w:bCs/>
                <w:color w:val="131413"/>
                <w:sz w:val="20"/>
                <w:szCs w:val="20"/>
              </w:rPr>
            </w:pPr>
            <w:r>
              <w:t xml:space="preserve">Test Design and Development </w:t>
            </w:r>
          </w:p>
        </w:tc>
        <w:tc>
          <w:tcPr>
            <w:tcW w:w="3465" w:type="dxa"/>
          </w:tcPr>
          <w:p w:rsidR="008E0510" w:rsidRDefault="00C96834" w:rsidP="00A137B2">
            <w:pPr>
              <w:spacing w:after="0" w:line="240" w:lineRule="auto"/>
              <w:rPr>
                <w:rFonts w:cstheme="minorHAnsi"/>
                <w:b/>
                <w:i/>
                <w:sz w:val="20"/>
                <w:szCs w:val="20"/>
              </w:rPr>
            </w:pPr>
            <w:r>
              <w:t>Conducting job and practice analyses Defining a test framework</w:t>
            </w:r>
          </w:p>
          <w:p w:rsidR="008E0510" w:rsidRPr="00D07B49" w:rsidRDefault="008E0510" w:rsidP="00A137B2">
            <w:pPr>
              <w:spacing w:after="0" w:line="240" w:lineRule="auto"/>
              <w:rPr>
                <w:rFonts w:cstheme="minorHAnsi"/>
                <w:b/>
                <w:i/>
                <w:sz w:val="20"/>
                <w:szCs w:val="20"/>
              </w:rPr>
            </w:pPr>
          </w:p>
        </w:tc>
      </w:tr>
      <w:tr w:rsidR="008E0510" w:rsidRPr="00D07B49" w:rsidTr="00A137B2">
        <w:trPr>
          <w:trHeight w:val="440"/>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3</w:t>
            </w:r>
          </w:p>
        </w:tc>
        <w:tc>
          <w:tcPr>
            <w:tcW w:w="6840" w:type="dxa"/>
          </w:tcPr>
          <w:p w:rsidR="008E0510" w:rsidRPr="00D07B49" w:rsidRDefault="00F13EC1" w:rsidP="00C96834">
            <w:pPr>
              <w:pStyle w:val="Footer"/>
              <w:tabs>
                <w:tab w:val="clear" w:pos="4320"/>
                <w:tab w:val="clear" w:pos="8640"/>
                <w:tab w:val="left" w:pos="432"/>
              </w:tabs>
              <w:spacing w:after="60"/>
              <w:rPr>
                <w:rFonts w:asciiTheme="minorHAnsi" w:hAnsiTheme="minorHAnsi" w:cstheme="minorHAnsi"/>
              </w:rPr>
            </w:pPr>
            <w:r>
              <w:t xml:space="preserve">Test Design and Development </w:t>
            </w:r>
          </w:p>
        </w:tc>
        <w:tc>
          <w:tcPr>
            <w:tcW w:w="3465" w:type="dxa"/>
          </w:tcPr>
          <w:p w:rsidR="008E0510" w:rsidRPr="00D07B49" w:rsidRDefault="008E0510" w:rsidP="00A137B2">
            <w:pPr>
              <w:spacing w:after="0"/>
              <w:rPr>
                <w:rFonts w:cstheme="minorHAnsi"/>
                <w:b/>
                <w:sz w:val="20"/>
                <w:szCs w:val="20"/>
              </w:rPr>
            </w:pPr>
            <w:r w:rsidRPr="00D07B49">
              <w:rPr>
                <w:rFonts w:cstheme="minorHAnsi"/>
                <w:b/>
                <w:sz w:val="20"/>
                <w:szCs w:val="20"/>
              </w:rPr>
              <w:t xml:space="preserve"> </w:t>
            </w:r>
            <w:r w:rsidR="00C96834">
              <w:t xml:space="preserve">Writing items and scoring procedures Item selection procedures; assembling item pools Expert reviews of items for content concerns Sensitivity/fairness review procedures Field testing/pilot testing procedures </w:t>
            </w:r>
          </w:p>
        </w:tc>
      </w:tr>
      <w:tr w:rsidR="008E0510" w:rsidRPr="00D07B49" w:rsidTr="00A137B2">
        <w:trPr>
          <w:trHeight w:val="440"/>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4</w:t>
            </w:r>
          </w:p>
        </w:tc>
        <w:tc>
          <w:tcPr>
            <w:tcW w:w="6840" w:type="dxa"/>
          </w:tcPr>
          <w:p w:rsidR="008E0510" w:rsidRPr="00D07B49" w:rsidRDefault="00F81859" w:rsidP="001F303F">
            <w:pPr>
              <w:pStyle w:val="Footer"/>
              <w:tabs>
                <w:tab w:val="clear" w:pos="4320"/>
                <w:tab w:val="clear" w:pos="8640"/>
                <w:tab w:val="left" w:pos="432"/>
              </w:tabs>
              <w:spacing w:after="60"/>
              <w:rPr>
                <w:rFonts w:asciiTheme="minorHAnsi" w:hAnsiTheme="minorHAnsi" w:cstheme="minorHAnsi"/>
              </w:rPr>
            </w:pPr>
            <w:r>
              <w:t xml:space="preserve">Determining the psychometric </w:t>
            </w:r>
          </w:p>
        </w:tc>
        <w:tc>
          <w:tcPr>
            <w:tcW w:w="3465" w:type="dxa"/>
          </w:tcPr>
          <w:p w:rsidR="008E0510" w:rsidRPr="00D07B49" w:rsidRDefault="001F303F" w:rsidP="00A137B2">
            <w:pPr>
              <w:spacing w:after="0"/>
              <w:rPr>
                <w:rFonts w:cstheme="minorHAnsi"/>
                <w:b/>
                <w:sz w:val="20"/>
                <w:szCs w:val="20"/>
              </w:rPr>
            </w:pPr>
            <w:r>
              <w:t xml:space="preserve">properties of items and of the test </w:t>
            </w:r>
            <w:proofErr w:type="spellStart"/>
            <w:r>
              <w:t>Test</w:t>
            </w:r>
            <w:proofErr w:type="spellEnd"/>
            <w:r>
              <w:t xml:space="preserve"> assembly Writing instructions to test takers Writing standardized procedures for test administration Conducting studies of differential item functioning</w:t>
            </w:r>
          </w:p>
        </w:tc>
      </w:tr>
      <w:tr w:rsidR="008E0510" w:rsidRPr="00D07B49" w:rsidTr="00A137B2">
        <w:trPr>
          <w:trHeight w:val="665"/>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5</w:t>
            </w:r>
          </w:p>
        </w:tc>
        <w:tc>
          <w:tcPr>
            <w:tcW w:w="6840" w:type="dxa"/>
          </w:tcPr>
          <w:p w:rsidR="008E0510" w:rsidRPr="00D07B49" w:rsidRDefault="004D3FE7" w:rsidP="001F303F">
            <w:pPr>
              <w:tabs>
                <w:tab w:val="left" w:pos="432"/>
              </w:tabs>
              <w:spacing w:after="60"/>
              <w:rPr>
                <w:rFonts w:cstheme="minorHAnsi"/>
                <w:sz w:val="20"/>
                <w:szCs w:val="20"/>
              </w:rPr>
            </w:pPr>
            <w:r>
              <w:t xml:space="preserve">Validity </w:t>
            </w:r>
          </w:p>
        </w:tc>
        <w:tc>
          <w:tcPr>
            <w:tcW w:w="3465" w:type="dxa"/>
          </w:tcPr>
          <w:p w:rsidR="008E0510" w:rsidRPr="00D07B49" w:rsidRDefault="001F303F" w:rsidP="00A137B2">
            <w:pPr>
              <w:spacing w:after="0" w:line="240" w:lineRule="auto"/>
              <w:rPr>
                <w:rFonts w:cstheme="minorHAnsi"/>
                <w:b/>
                <w:sz w:val="20"/>
                <w:szCs w:val="20"/>
              </w:rPr>
            </w:pPr>
            <w:r>
              <w:t xml:space="preserve">Definitions of validity Establishing a conceptual framework for investigating validity Making decisions about types of validity evidence to gather Articulating propositions to test and conducting logical analyses to evaluate those </w:t>
            </w:r>
            <w:r>
              <w:lastRenderedPageBreak/>
              <w:t>propositions Sources of validity evidence Integrating validity evidence Developing a “validity argument” Construct underrepresentation, construct-irrelevant variance</w:t>
            </w:r>
          </w:p>
        </w:tc>
      </w:tr>
      <w:tr w:rsidR="008E0510" w:rsidRPr="00D07B49" w:rsidTr="00A137B2">
        <w:trPr>
          <w:trHeight w:val="512"/>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lastRenderedPageBreak/>
              <w:t>6</w:t>
            </w:r>
          </w:p>
        </w:tc>
        <w:tc>
          <w:tcPr>
            <w:tcW w:w="6840" w:type="dxa"/>
          </w:tcPr>
          <w:p w:rsidR="008E0510" w:rsidRPr="00D07B49" w:rsidRDefault="00794970" w:rsidP="001F303F">
            <w:pPr>
              <w:rPr>
                <w:rFonts w:cstheme="minorHAnsi"/>
                <w:sz w:val="20"/>
                <w:szCs w:val="20"/>
              </w:rPr>
            </w:pPr>
            <w:r>
              <w:t>Reliability I</w:t>
            </w:r>
          </w:p>
        </w:tc>
        <w:tc>
          <w:tcPr>
            <w:tcW w:w="3465" w:type="dxa"/>
          </w:tcPr>
          <w:p w:rsidR="008E0510" w:rsidRPr="00D07B49" w:rsidRDefault="001F303F" w:rsidP="00A137B2">
            <w:pPr>
              <w:spacing w:after="0" w:line="360" w:lineRule="auto"/>
              <w:rPr>
                <w:rFonts w:cstheme="minorHAnsi"/>
                <w:b/>
                <w:i/>
                <w:sz w:val="20"/>
                <w:szCs w:val="20"/>
              </w:rPr>
            </w:pPr>
            <w:r>
              <w:t xml:space="preserve">Precision and Errors of Measurement Definitions of reliability and measurement error Flexibility  large-scale testing </w:t>
            </w:r>
          </w:p>
        </w:tc>
      </w:tr>
      <w:tr w:rsidR="008E0510" w:rsidRPr="00D07B49" w:rsidTr="00A137B2">
        <w:trPr>
          <w:trHeight w:val="593"/>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7</w:t>
            </w:r>
          </w:p>
        </w:tc>
        <w:tc>
          <w:tcPr>
            <w:tcW w:w="6840" w:type="dxa"/>
          </w:tcPr>
          <w:p w:rsidR="008E0510" w:rsidRPr="00D07B49" w:rsidRDefault="00906F28" w:rsidP="001F303F">
            <w:pPr>
              <w:tabs>
                <w:tab w:val="left" w:pos="432"/>
              </w:tabs>
              <w:spacing w:after="60"/>
              <w:rPr>
                <w:rFonts w:cstheme="minorHAnsi"/>
                <w:color w:val="000000"/>
                <w:sz w:val="20"/>
                <w:szCs w:val="20"/>
              </w:rPr>
            </w:pPr>
            <w:r>
              <w:t>Reliability</w:t>
            </w:r>
            <w:r w:rsidR="00794970">
              <w:t xml:space="preserve"> II</w:t>
            </w:r>
          </w:p>
        </w:tc>
        <w:tc>
          <w:tcPr>
            <w:tcW w:w="3465" w:type="dxa"/>
          </w:tcPr>
          <w:p w:rsidR="008E0510" w:rsidRPr="00D07B49" w:rsidRDefault="001F303F" w:rsidP="00A137B2">
            <w:pPr>
              <w:spacing w:after="0" w:line="360" w:lineRule="auto"/>
              <w:rPr>
                <w:rFonts w:cstheme="minorHAnsi"/>
                <w:b/>
                <w:i/>
                <w:sz w:val="20"/>
                <w:szCs w:val="20"/>
              </w:rPr>
            </w:pPr>
            <w:r>
              <w:t>large-scale testing and increasing measurement error Characteristics of measurement error Summarizing reliability data Interpreting reliability data</w:t>
            </w:r>
          </w:p>
        </w:tc>
      </w:tr>
      <w:tr w:rsidR="008E0510" w:rsidRPr="00D07B49" w:rsidTr="00A137B2">
        <w:trPr>
          <w:trHeight w:val="458"/>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8</w:t>
            </w:r>
          </w:p>
        </w:tc>
        <w:tc>
          <w:tcPr>
            <w:tcW w:w="6840" w:type="dxa"/>
          </w:tcPr>
          <w:p w:rsidR="008E0510" w:rsidRPr="00D07B49" w:rsidRDefault="008E0510" w:rsidP="00A137B2">
            <w:pPr>
              <w:tabs>
                <w:tab w:val="left" w:pos="432"/>
              </w:tabs>
              <w:spacing w:after="60"/>
              <w:rPr>
                <w:rFonts w:cstheme="minorHAnsi"/>
                <w:b/>
                <w:i/>
                <w:sz w:val="20"/>
                <w:szCs w:val="20"/>
              </w:rPr>
            </w:pPr>
            <w:r w:rsidRPr="00D07B49">
              <w:rPr>
                <w:rFonts w:cstheme="minorHAnsi"/>
                <w:b/>
                <w:i/>
                <w:sz w:val="20"/>
                <w:szCs w:val="20"/>
              </w:rPr>
              <w:t>Midterm</w:t>
            </w:r>
          </w:p>
        </w:tc>
        <w:tc>
          <w:tcPr>
            <w:tcW w:w="3465" w:type="dxa"/>
          </w:tcPr>
          <w:p w:rsidR="008E0510" w:rsidRPr="00D07B49" w:rsidRDefault="008E0510" w:rsidP="00A137B2">
            <w:pPr>
              <w:spacing w:after="0" w:line="360" w:lineRule="auto"/>
              <w:rPr>
                <w:rFonts w:cstheme="minorHAnsi"/>
                <w:b/>
                <w:sz w:val="20"/>
                <w:szCs w:val="20"/>
              </w:rPr>
            </w:pPr>
            <w:r w:rsidRPr="00D07B49">
              <w:rPr>
                <w:rFonts w:cstheme="minorHAnsi"/>
                <w:b/>
                <w:sz w:val="20"/>
                <w:szCs w:val="20"/>
              </w:rPr>
              <w:t xml:space="preserve"> </w:t>
            </w:r>
          </w:p>
        </w:tc>
      </w:tr>
      <w:tr w:rsidR="008E0510" w:rsidRPr="00D07B49" w:rsidTr="00A137B2">
        <w:trPr>
          <w:trHeight w:val="377"/>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9</w:t>
            </w:r>
          </w:p>
        </w:tc>
        <w:tc>
          <w:tcPr>
            <w:tcW w:w="6840" w:type="dxa"/>
          </w:tcPr>
          <w:p w:rsidR="008E0510" w:rsidRPr="00D07B49" w:rsidRDefault="00906F28" w:rsidP="008F4570">
            <w:pPr>
              <w:tabs>
                <w:tab w:val="left" w:pos="432"/>
              </w:tabs>
              <w:spacing w:after="60"/>
              <w:rPr>
                <w:rFonts w:cstheme="minorHAnsi"/>
                <w:sz w:val="20"/>
                <w:szCs w:val="20"/>
              </w:rPr>
            </w:pPr>
            <w:r>
              <w:t xml:space="preserve">Test Administration, Scoring, Reporting, and Interpretation Adhering to standardized test administration procedures </w:t>
            </w:r>
          </w:p>
        </w:tc>
        <w:tc>
          <w:tcPr>
            <w:tcW w:w="3465" w:type="dxa"/>
          </w:tcPr>
          <w:p w:rsidR="008E0510" w:rsidRPr="00D07B49" w:rsidRDefault="008F4570" w:rsidP="00A137B2">
            <w:pPr>
              <w:spacing w:after="0" w:line="240" w:lineRule="auto"/>
              <w:rPr>
                <w:rFonts w:cstheme="minorHAnsi"/>
                <w:b/>
                <w:sz w:val="20"/>
                <w:szCs w:val="20"/>
              </w:rPr>
            </w:pPr>
            <w:r>
              <w:t>Monitoring test takers to eliminate opportunities for cheating Managing testing environments Protecting the security of test materials Training scorers Assuring accuracy of scoring Providing appropriate interpretations of scores Protecting confidentiality when transmitting scores</w:t>
            </w:r>
          </w:p>
        </w:tc>
      </w:tr>
      <w:tr w:rsidR="008E0510" w:rsidRPr="00D07B49" w:rsidTr="00A137B2">
        <w:trPr>
          <w:trHeight w:val="377"/>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10</w:t>
            </w:r>
          </w:p>
        </w:tc>
        <w:tc>
          <w:tcPr>
            <w:tcW w:w="6840" w:type="dxa"/>
          </w:tcPr>
          <w:p w:rsidR="008E0510" w:rsidRPr="00D07B49" w:rsidRDefault="00F2167E" w:rsidP="008F4570">
            <w:pPr>
              <w:spacing w:after="0" w:line="360" w:lineRule="auto"/>
              <w:rPr>
                <w:rFonts w:cstheme="minorHAnsi"/>
                <w:sz w:val="20"/>
                <w:szCs w:val="20"/>
                <w:u w:val="single"/>
              </w:rPr>
            </w:pPr>
            <w:r>
              <w:t xml:space="preserve">Scores, Scales, Norms, Score Linking, and Cut Scores – Part 1 </w:t>
            </w:r>
          </w:p>
        </w:tc>
        <w:tc>
          <w:tcPr>
            <w:tcW w:w="3465" w:type="dxa"/>
          </w:tcPr>
          <w:p w:rsidR="008E0510" w:rsidRPr="00D07B49" w:rsidRDefault="008F4570" w:rsidP="00A137B2">
            <w:pPr>
              <w:spacing w:after="0" w:line="360" w:lineRule="auto"/>
              <w:rPr>
                <w:rFonts w:cstheme="minorHAnsi"/>
                <w:b/>
                <w:sz w:val="20"/>
                <w:szCs w:val="20"/>
                <w:u w:val="single"/>
              </w:rPr>
            </w:pPr>
            <w:r>
              <w:t>Scaling Norming Equating Linking tests that measure different constructs to establish score comparability</w:t>
            </w:r>
          </w:p>
        </w:tc>
      </w:tr>
      <w:tr w:rsidR="008E0510" w:rsidRPr="00D07B49" w:rsidTr="00A137B2">
        <w:trPr>
          <w:trHeight w:val="350"/>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11</w:t>
            </w:r>
          </w:p>
        </w:tc>
        <w:tc>
          <w:tcPr>
            <w:tcW w:w="6840" w:type="dxa"/>
          </w:tcPr>
          <w:p w:rsidR="008E0510" w:rsidRPr="00D07B49" w:rsidRDefault="00A4561B" w:rsidP="00A137B2">
            <w:pPr>
              <w:autoSpaceDE w:val="0"/>
              <w:autoSpaceDN w:val="0"/>
              <w:adjustRightInd w:val="0"/>
              <w:spacing w:after="0" w:line="240" w:lineRule="auto"/>
              <w:rPr>
                <w:rFonts w:cstheme="minorHAnsi"/>
                <w:sz w:val="20"/>
                <w:szCs w:val="20"/>
              </w:rPr>
            </w:pPr>
            <w:r>
              <w:t>Scores, Scales, Norms, Score Linking, and Cut Scores Establishing defensible cut scores</w:t>
            </w:r>
          </w:p>
        </w:tc>
        <w:tc>
          <w:tcPr>
            <w:tcW w:w="3465" w:type="dxa"/>
          </w:tcPr>
          <w:p w:rsidR="008E0510" w:rsidRPr="00D07B49" w:rsidRDefault="008F4570" w:rsidP="00A137B2">
            <w:pPr>
              <w:spacing w:after="0" w:line="360" w:lineRule="auto"/>
              <w:rPr>
                <w:rFonts w:cstheme="minorHAnsi"/>
                <w:b/>
                <w:i/>
                <w:sz w:val="20"/>
                <w:szCs w:val="20"/>
              </w:rPr>
            </w:pPr>
            <w:r>
              <w:t>Scales, Norms, Score Linking, and Cut Scores Establishing defensible cut scores</w:t>
            </w:r>
          </w:p>
        </w:tc>
      </w:tr>
      <w:tr w:rsidR="008E0510" w:rsidRPr="00D07B49" w:rsidTr="00A137B2">
        <w:trPr>
          <w:trHeight w:val="350"/>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12</w:t>
            </w:r>
          </w:p>
        </w:tc>
        <w:tc>
          <w:tcPr>
            <w:tcW w:w="6840" w:type="dxa"/>
          </w:tcPr>
          <w:p w:rsidR="008E0510" w:rsidRPr="00D07B49" w:rsidRDefault="003A6836" w:rsidP="008F4570">
            <w:pPr>
              <w:spacing w:after="0" w:line="360" w:lineRule="auto"/>
              <w:rPr>
                <w:rFonts w:cstheme="minorHAnsi"/>
                <w:sz w:val="20"/>
                <w:szCs w:val="20"/>
              </w:rPr>
            </w:pPr>
            <w:r>
              <w:t xml:space="preserve">Fairness in Testing </w:t>
            </w:r>
          </w:p>
        </w:tc>
        <w:tc>
          <w:tcPr>
            <w:tcW w:w="3465" w:type="dxa"/>
          </w:tcPr>
          <w:p w:rsidR="008E0510" w:rsidRPr="00D07B49" w:rsidRDefault="008F4570" w:rsidP="00A137B2">
            <w:pPr>
              <w:spacing w:after="0" w:line="240" w:lineRule="auto"/>
              <w:rPr>
                <w:rFonts w:cstheme="minorHAnsi"/>
                <w:b/>
                <w:i/>
                <w:sz w:val="20"/>
                <w:szCs w:val="20"/>
              </w:rPr>
            </w:pPr>
            <w:r>
              <w:t>General views of fairness Threats to fair and valid interpretations of test scores Minimizing construct-irrelevant components through test design and testing adaptations</w:t>
            </w:r>
          </w:p>
        </w:tc>
      </w:tr>
      <w:tr w:rsidR="008E0510" w:rsidRPr="00D07B49" w:rsidTr="00A137B2">
        <w:trPr>
          <w:trHeight w:val="548"/>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lastRenderedPageBreak/>
              <w:t>13</w:t>
            </w:r>
          </w:p>
        </w:tc>
        <w:tc>
          <w:tcPr>
            <w:tcW w:w="6840" w:type="dxa"/>
          </w:tcPr>
          <w:p w:rsidR="008E0510" w:rsidRPr="00861D53" w:rsidRDefault="00A36D74" w:rsidP="009A2E1C">
            <w:pPr>
              <w:spacing w:after="0" w:line="360" w:lineRule="auto"/>
              <w:rPr>
                <w:rFonts w:cstheme="minorHAnsi"/>
                <w:sz w:val="20"/>
                <w:szCs w:val="20"/>
              </w:rPr>
            </w:pPr>
            <w:r>
              <w:t xml:space="preserve">The Rights and Responsibilities of Test Users </w:t>
            </w:r>
          </w:p>
        </w:tc>
        <w:tc>
          <w:tcPr>
            <w:tcW w:w="3465" w:type="dxa"/>
          </w:tcPr>
          <w:p w:rsidR="008E0510" w:rsidRPr="00D07B49" w:rsidRDefault="009A2E1C" w:rsidP="00A137B2">
            <w:pPr>
              <w:spacing w:after="0" w:line="360" w:lineRule="auto"/>
              <w:rPr>
                <w:rFonts w:cstheme="minorHAnsi"/>
                <w:b/>
                <w:i/>
                <w:sz w:val="20"/>
                <w:szCs w:val="20"/>
              </w:rPr>
            </w:pPr>
            <w:r>
              <w:t>Test security Access to test results and to understandable information about a test Testing irregularities Informed consent requirements Protection from improper disclosure Forms of cheating</w:t>
            </w:r>
          </w:p>
        </w:tc>
      </w:tr>
      <w:tr w:rsidR="008E0510" w:rsidRPr="00D07B49" w:rsidTr="00A137B2">
        <w:trPr>
          <w:trHeight w:val="548"/>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14</w:t>
            </w:r>
          </w:p>
        </w:tc>
        <w:tc>
          <w:tcPr>
            <w:tcW w:w="6840" w:type="dxa"/>
          </w:tcPr>
          <w:p w:rsidR="008E0510" w:rsidRPr="00D07B49" w:rsidRDefault="00BE6A71" w:rsidP="00A137B2">
            <w:pPr>
              <w:spacing w:after="0" w:line="360" w:lineRule="auto"/>
              <w:rPr>
                <w:rFonts w:cstheme="minorHAnsi"/>
                <w:sz w:val="20"/>
                <w:szCs w:val="20"/>
              </w:rPr>
            </w:pPr>
            <w:r>
              <w:t>Psychological Testing and Assessment Test selection and administration Test score interpretation Collateral information used in psychological testing and assessment Types of psychological testing and assessment Purposes of psychological testing and assessment</w:t>
            </w:r>
          </w:p>
        </w:tc>
        <w:tc>
          <w:tcPr>
            <w:tcW w:w="3465" w:type="dxa"/>
          </w:tcPr>
          <w:p w:rsidR="008E0510" w:rsidRPr="00D07B49" w:rsidRDefault="009A2E1C" w:rsidP="00A137B2">
            <w:pPr>
              <w:spacing w:after="0" w:line="240" w:lineRule="auto"/>
              <w:rPr>
                <w:rFonts w:cstheme="minorHAnsi"/>
                <w:b/>
                <w:i/>
                <w:sz w:val="20"/>
                <w:szCs w:val="20"/>
              </w:rPr>
            </w:pPr>
            <w:r>
              <w:t>Test score interpretation Collateral information used in psychological testing and assessment Types of psychological testing and assessment Purposes of psychological testing and assessment</w:t>
            </w:r>
          </w:p>
        </w:tc>
      </w:tr>
      <w:tr w:rsidR="008E0510" w:rsidRPr="00D07B49" w:rsidTr="00A137B2">
        <w:trPr>
          <w:trHeight w:val="548"/>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15</w:t>
            </w:r>
          </w:p>
        </w:tc>
        <w:tc>
          <w:tcPr>
            <w:tcW w:w="6840" w:type="dxa"/>
          </w:tcPr>
          <w:p w:rsidR="008E0510" w:rsidRPr="00D07B49" w:rsidRDefault="00BE6A71" w:rsidP="009A2E1C">
            <w:pPr>
              <w:spacing w:after="0" w:line="360" w:lineRule="auto"/>
              <w:rPr>
                <w:rFonts w:cstheme="minorHAnsi"/>
                <w:sz w:val="20"/>
                <w:szCs w:val="20"/>
              </w:rPr>
            </w:pPr>
            <w:r>
              <w:t xml:space="preserve">Uses of Tests for Program Evaluation, Policy Studies, and Accountability </w:t>
            </w:r>
          </w:p>
        </w:tc>
        <w:tc>
          <w:tcPr>
            <w:tcW w:w="3465" w:type="dxa"/>
          </w:tcPr>
          <w:p w:rsidR="008E0510" w:rsidRPr="00D07B49" w:rsidRDefault="009A2E1C" w:rsidP="00A137B2">
            <w:pPr>
              <w:spacing w:after="0" w:line="360" w:lineRule="auto"/>
              <w:rPr>
                <w:rFonts w:cstheme="minorHAnsi"/>
                <w:b/>
                <w:i/>
                <w:sz w:val="20"/>
                <w:szCs w:val="20"/>
              </w:rPr>
            </w:pPr>
            <w:r>
              <w:t>Evaluation of programs and policy initiatives Test-based accountability systems Issues in program and policy evaluation and accountability Additional considerations</w:t>
            </w:r>
            <w:bookmarkStart w:id="0" w:name="_GoBack"/>
            <w:bookmarkEnd w:id="0"/>
          </w:p>
        </w:tc>
      </w:tr>
      <w:tr w:rsidR="008E0510" w:rsidRPr="00D07B49" w:rsidTr="00A137B2">
        <w:trPr>
          <w:trHeight w:val="548"/>
        </w:trPr>
        <w:tc>
          <w:tcPr>
            <w:tcW w:w="810" w:type="dxa"/>
          </w:tcPr>
          <w:p w:rsidR="008E0510" w:rsidRPr="00D07B49" w:rsidRDefault="008E0510" w:rsidP="00A137B2">
            <w:pPr>
              <w:spacing w:after="0" w:line="360" w:lineRule="auto"/>
              <w:rPr>
                <w:rFonts w:cstheme="minorHAnsi"/>
                <w:b/>
                <w:sz w:val="20"/>
                <w:szCs w:val="20"/>
                <w:u w:val="single"/>
              </w:rPr>
            </w:pPr>
            <w:r w:rsidRPr="00D07B49">
              <w:rPr>
                <w:rFonts w:cstheme="minorHAnsi"/>
                <w:b/>
                <w:sz w:val="20"/>
                <w:szCs w:val="20"/>
                <w:u w:val="single"/>
              </w:rPr>
              <w:t>16</w:t>
            </w:r>
          </w:p>
        </w:tc>
        <w:tc>
          <w:tcPr>
            <w:tcW w:w="6840" w:type="dxa"/>
          </w:tcPr>
          <w:p w:rsidR="008E0510" w:rsidRPr="00D07B49" w:rsidRDefault="008E0510" w:rsidP="00A137B2">
            <w:pPr>
              <w:spacing w:after="0" w:line="360" w:lineRule="auto"/>
              <w:rPr>
                <w:rFonts w:cstheme="minorHAnsi"/>
                <w:b/>
                <w:i/>
                <w:sz w:val="20"/>
                <w:szCs w:val="20"/>
              </w:rPr>
            </w:pPr>
            <w:r w:rsidRPr="00D07B49">
              <w:rPr>
                <w:rFonts w:cstheme="minorHAnsi"/>
                <w:b/>
                <w:i/>
                <w:sz w:val="20"/>
                <w:szCs w:val="20"/>
              </w:rPr>
              <w:t xml:space="preserve">Final Term Exams </w:t>
            </w:r>
          </w:p>
        </w:tc>
        <w:tc>
          <w:tcPr>
            <w:tcW w:w="3465" w:type="dxa"/>
          </w:tcPr>
          <w:p w:rsidR="008E0510" w:rsidRPr="00D07B49" w:rsidRDefault="008E0510" w:rsidP="00A137B2">
            <w:pPr>
              <w:spacing w:after="0" w:line="360" w:lineRule="auto"/>
              <w:rPr>
                <w:rFonts w:cstheme="minorHAnsi"/>
                <w:b/>
                <w:i/>
                <w:sz w:val="20"/>
                <w:szCs w:val="20"/>
              </w:rPr>
            </w:pPr>
          </w:p>
        </w:tc>
      </w:tr>
    </w:tbl>
    <w:p w:rsidR="008E0510" w:rsidRPr="00490C14" w:rsidRDefault="008E0510" w:rsidP="008E0510">
      <w:pPr>
        <w:spacing w:after="0" w:line="360" w:lineRule="auto"/>
        <w:rPr>
          <w:rFonts w:cstheme="minorHAnsi"/>
          <w:b/>
          <w:sz w:val="24"/>
          <w:szCs w:val="24"/>
          <w:u w:val="single"/>
        </w:rPr>
      </w:pPr>
    </w:p>
    <w:p w:rsidR="008E0510" w:rsidRPr="00490C14" w:rsidRDefault="008E0510" w:rsidP="008E0510">
      <w:pPr>
        <w:spacing w:after="0" w:line="360" w:lineRule="auto"/>
        <w:ind w:left="720"/>
        <w:rPr>
          <w:rFonts w:cstheme="minorHAnsi"/>
          <w:b/>
          <w:sz w:val="24"/>
          <w:szCs w:val="24"/>
          <w:u w:val="single"/>
        </w:rPr>
      </w:pPr>
    </w:p>
    <w:p w:rsidR="008E0510" w:rsidRDefault="008E0510" w:rsidP="008E0510">
      <w:r>
        <w:t xml:space="preserve"> </w:t>
      </w:r>
    </w:p>
    <w:p w:rsidR="008E0510" w:rsidRDefault="008E0510" w:rsidP="008E0510"/>
    <w:p w:rsidR="008E0510" w:rsidRDefault="008E0510" w:rsidP="008E0510"/>
    <w:p w:rsidR="008E0510" w:rsidRDefault="008E0510" w:rsidP="008E0510"/>
    <w:p w:rsidR="008E0510" w:rsidRDefault="008E0510" w:rsidP="008E0510"/>
    <w:p w:rsidR="008E0510" w:rsidRDefault="008E0510" w:rsidP="008E0510"/>
    <w:p w:rsidR="008E0510" w:rsidRDefault="008E0510" w:rsidP="008E0510"/>
    <w:p w:rsidR="008E0510" w:rsidRDefault="008E0510" w:rsidP="008E0510"/>
    <w:p w:rsidR="008E0510" w:rsidRDefault="008E0510" w:rsidP="008E0510"/>
    <w:p w:rsidR="008E0510" w:rsidRDefault="008E0510" w:rsidP="008E0510"/>
    <w:p w:rsidR="008E0510" w:rsidRDefault="008E0510" w:rsidP="008E0510"/>
    <w:p w:rsidR="008E0510" w:rsidRDefault="008E0510" w:rsidP="008E0510"/>
    <w:p w:rsidR="008E0510" w:rsidRDefault="008E0510" w:rsidP="008E0510"/>
    <w:p w:rsidR="00D60E93" w:rsidRDefault="009A2E1C"/>
    <w:sectPr w:rsidR="00D60E93" w:rsidSect="00795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720BA"/>
    <w:multiLevelType w:val="hybridMultilevel"/>
    <w:tmpl w:val="0100A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F7B9E"/>
    <w:multiLevelType w:val="hybridMultilevel"/>
    <w:tmpl w:val="42C618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A6F5108"/>
    <w:multiLevelType w:val="hybridMultilevel"/>
    <w:tmpl w:val="C84C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4A7696"/>
    <w:multiLevelType w:val="hybridMultilevel"/>
    <w:tmpl w:val="69D0E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76F22"/>
    <w:multiLevelType w:val="hybridMultilevel"/>
    <w:tmpl w:val="FC54DD68"/>
    <w:lvl w:ilvl="0" w:tplc="9A343F34">
      <w:start w:val="1"/>
      <w:numFmt w:val="decimal"/>
      <w:lvlText w:val="%1."/>
      <w:lvlJc w:val="left"/>
      <w:pPr>
        <w:ind w:left="720" w:hanging="360"/>
      </w:pPr>
      <w:rPr>
        <w:rFonts w:asciiTheme="minorHAnsi" w:eastAsiaTheme="minorEastAsia"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AB2DA9"/>
    <w:multiLevelType w:val="hybridMultilevel"/>
    <w:tmpl w:val="56186C4C"/>
    <w:lvl w:ilvl="0" w:tplc="0409000F">
      <w:start w:val="1"/>
      <w:numFmt w:val="decimal"/>
      <w:lvlText w:val="%1."/>
      <w:lvlJc w:val="left"/>
      <w:pPr>
        <w:tabs>
          <w:tab w:val="num" w:pos="720"/>
        </w:tabs>
        <w:ind w:left="720" w:hanging="360"/>
      </w:pPr>
    </w:lvl>
    <w:lvl w:ilvl="1" w:tplc="770439CE">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10"/>
    <w:rsid w:val="0002696A"/>
    <w:rsid w:val="00063919"/>
    <w:rsid w:val="00083398"/>
    <w:rsid w:val="001F303F"/>
    <w:rsid w:val="00204F0D"/>
    <w:rsid w:val="002E0B29"/>
    <w:rsid w:val="00316CD2"/>
    <w:rsid w:val="003A6836"/>
    <w:rsid w:val="00421110"/>
    <w:rsid w:val="00434F76"/>
    <w:rsid w:val="00494B4D"/>
    <w:rsid w:val="004B2E1A"/>
    <w:rsid w:val="004D3FE7"/>
    <w:rsid w:val="005C6D7B"/>
    <w:rsid w:val="006E75C7"/>
    <w:rsid w:val="00794970"/>
    <w:rsid w:val="007A09AD"/>
    <w:rsid w:val="007A1A2F"/>
    <w:rsid w:val="008A0F91"/>
    <w:rsid w:val="008E0510"/>
    <w:rsid w:val="008F4570"/>
    <w:rsid w:val="00906F28"/>
    <w:rsid w:val="0098301F"/>
    <w:rsid w:val="009A2E1C"/>
    <w:rsid w:val="009B5284"/>
    <w:rsid w:val="009E1934"/>
    <w:rsid w:val="00A36D74"/>
    <w:rsid w:val="00A4561B"/>
    <w:rsid w:val="00BB2E9B"/>
    <w:rsid w:val="00BE6A71"/>
    <w:rsid w:val="00C06AF8"/>
    <w:rsid w:val="00C50EDA"/>
    <w:rsid w:val="00C66122"/>
    <w:rsid w:val="00C96834"/>
    <w:rsid w:val="00CC138B"/>
    <w:rsid w:val="00D00B62"/>
    <w:rsid w:val="00D44131"/>
    <w:rsid w:val="00D538A1"/>
    <w:rsid w:val="00DB53CE"/>
    <w:rsid w:val="00E47E16"/>
    <w:rsid w:val="00F13EC1"/>
    <w:rsid w:val="00F2167E"/>
    <w:rsid w:val="00F81859"/>
    <w:rsid w:val="00F8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530C4-F640-4E4D-899E-4C212B0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51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510"/>
    <w:pPr>
      <w:ind w:left="720"/>
      <w:contextualSpacing/>
    </w:pPr>
  </w:style>
  <w:style w:type="paragraph" w:styleId="Footer">
    <w:name w:val="footer"/>
    <w:basedOn w:val="Normal"/>
    <w:link w:val="FooterChar"/>
    <w:rsid w:val="008E05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8E0510"/>
    <w:rPr>
      <w:rFonts w:ascii="Times New Roman" w:eastAsia="Times New Roman" w:hAnsi="Times New Roman" w:cs="Times New Roman"/>
      <w:sz w:val="20"/>
      <w:szCs w:val="20"/>
    </w:rPr>
  </w:style>
  <w:style w:type="paragraph" w:customStyle="1" w:styleId="Default">
    <w:name w:val="Default"/>
    <w:rsid w:val="008E051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E05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iha.gul@umt.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pc</dc:creator>
  <cp:keywords/>
  <dc:description/>
  <cp:lastModifiedBy>Abdul pc</cp:lastModifiedBy>
  <cp:revision>41</cp:revision>
  <dcterms:created xsi:type="dcterms:W3CDTF">2022-08-16T11:15:00Z</dcterms:created>
  <dcterms:modified xsi:type="dcterms:W3CDTF">2022-08-16T11:45:00Z</dcterms:modified>
</cp:coreProperties>
</file>