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A7" w:rsidRDefault="004642A7" w:rsidP="004642A7">
      <w:pPr>
        <w:tabs>
          <w:tab w:val="left" w:pos="1720"/>
        </w:tabs>
        <w:spacing w:before="200"/>
        <w:ind w:left="280"/>
        <w:jc w:val="center"/>
        <w:rPr>
          <w:b/>
          <w:sz w:val="24"/>
        </w:rPr>
      </w:pPr>
      <w:r>
        <w:rPr>
          <w:b/>
          <w:sz w:val="24"/>
        </w:rPr>
        <w:t>LANGUAGE, GENDER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SEXUALITY</w:t>
      </w:r>
    </w:p>
    <w:p w:rsidR="004642A7" w:rsidRDefault="004642A7" w:rsidP="004642A7">
      <w:pPr>
        <w:pStyle w:val="BodyText"/>
        <w:spacing w:before="3"/>
        <w:ind w:left="0"/>
        <w:rPr>
          <w:b/>
          <w:sz w:val="23"/>
        </w:rPr>
      </w:pPr>
    </w:p>
    <w:p w:rsidR="004642A7" w:rsidRDefault="004642A7" w:rsidP="004642A7">
      <w:pPr>
        <w:spacing w:before="90"/>
        <w:ind w:left="939"/>
        <w:rPr>
          <w:b/>
          <w:sz w:val="24"/>
        </w:rPr>
      </w:pPr>
      <w:r>
        <w:rPr>
          <w:b/>
          <w:sz w:val="24"/>
        </w:rPr>
        <w:t>Capsule Statement:</w:t>
      </w:r>
    </w:p>
    <w:p w:rsidR="004642A7" w:rsidRDefault="004642A7" w:rsidP="004642A7">
      <w:pPr>
        <w:pStyle w:val="BodyText"/>
        <w:spacing w:before="39" w:line="276" w:lineRule="auto"/>
        <w:ind w:left="939" w:right="797"/>
      </w:pPr>
      <w:r>
        <w:t>This course discusses the relationship, in theory and practice, between language, gender and sexuality. It surveys the major theories of gender and language and also considers how cross- cultural studies of language and language ideologies can challenge our received notions of what gender is and how language and gender are interconnected. Among the topics covered are: institutional language and power; gender identity and language use; ideologies of gender and language; cultural definitions of “masculinity” and “femininity” and their relationship to language use; sexual orientation and linguistic expression; and the social construction of gender identities through linguistic performance.</w:t>
      </w:r>
    </w:p>
    <w:p w:rsidR="004642A7" w:rsidRDefault="004642A7" w:rsidP="004642A7">
      <w:pPr>
        <w:pStyle w:val="BodyText"/>
        <w:spacing w:before="0"/>
        <w:ind w:left="0"/>
        <w:rPr>
          <w:sz w:val="28"/>
        </w:rPr>
      </w:pPr>
    </w:p>
    <w:p w:rsidR="004642A7" w:rsidRDefault="004642A7" w:rsidP="004642A7">
      <w:pPr>
        <w:pStyle w:val="Heading4"/>
        <w:ind w:left="939"/>
      </w:pPr>
      <w:r>
        <w:t>Objectives:</w:t>
      </w:r>
    </w:p>
    <w:p w:rsidR="004642A7" w:rsidRDefault="004642A7" w:rsidP="004642A7">
      <w:pPr>
        <w:pStyle w:val="BodyText"/>
        <w:spacing w:before="36"/>
        <w:ind w:left="939"/>
      </w:pPr>
      <w:r>
        <w:t>After the completion of this course, students will be able to;</w:t>
      </w:r>
    </w:p>
    <w:p w:rsidR="004642A7" w:rsidRDefault="004642A7" w:rsidP="004642A7">
      <w:pPr>
        <w:pStyle w:val="BodyText"/>
        <w:spacing w:before="9"/>
        <w:ind w:left="0"/>
        <w:rPr>
          <w:sz w:val="20"/>
        </w:rPr>
      </w:pPr>
    </w:p>
    <w:p w:rsidR="004642A7" w:rsidRDefault="004642A7" w:rsidP="004642A7">
      <w:pPr>
        <w:pStyle w:val="ListParagraph"/>
        <w:numPr>
          <w:ilvl w:val="0"/>
          <w:numId w:val="2"/>
        </w:numPr>
        <w:tabs>
          <w:tab w:val="left" w:pos="1659"/>
          <w:tab w:val="left" w:pos="1660"/>
        </w:tabs>
        <w:spacing w:before="0" w:line="273" w:lineRule="auto"/>
        <w:ind w:left="1659" w:right="1546"/>
        <w:rPr>
          <w:sz w:val="24"/>
        </w:rPr>
      </w:pPr>
      <w:r>
        <w:rPr>
          <w:sz w:val="24"/>
        </w:rPr>
        <w:t>Identify and give the significance of central concepts, key propositions, and both hegemonic and contested frameworks in the study of gender and</w:t>
      </w:r>
      <w:r>
        <w:rPr>
          <w:spacing w:val="-9"/>
          <w:sz w:val="24"/>
        </w:rPr>
        <w:t xml:space="preserve"> </w:t>
      </w:r>
      <w:r>
        <w:rPr>
          <w:sz w:val="24"/>
        </w:rPr>
        <w:t>sexuality.</w:t>
      </w:r>
    </w:p>
    <w:p w:rsidR="004642A7" w:rsidRDefault="004642A7" w:rsidP="004642A7">
      <w:pPr>
        <w:pStyle w:val="ListParagraph"/>
        <w:numPr>
          <w:ilvl w:val="0"/>
          <w:numId w:val="2"/>
        </w:numPr>
        <w:tabs>
          <w:tab w:val="left" w:pos="1659"/>
          <w:tab w:val="left" w:pos="1660"/>
        </w:tabs>
        <w:spacing w:before="3" w:line="276" w:lineRule="auto"/>
        <w:ind w:left="1659" w:right="807"/>
        <w:rPr>
          <w:sz w:val="24"/>
        </w:rPr>
      </w:pPr>
      <w:r>
        <w:rPr>
          <w:sz w:val="24"/>
        </w:rPr>
        <w:t>Describe and assess how concepts, propositions, and theoretical approaches or</w:t>
      </w:r>
      <w:r>
        <w:rPr>
          <w:spacing w:val="-14"/>
          <w:sz w:val="24"/>
        </w:rPr>
        <w:t xml:space="preserve"> </w:t>
      </w:r>
      <w:r>
        <w:rPr>
          <w:sz w:val="24"/>
        </w:rPr>
        <w:t>questions take on different lives in different disciplines, and discuss a range of ways in which questions about gender and sexuality unsettle disciplinary premises and</w:t>
      </w:r>
      <w:r>
        <w:rPr>
          <w:spacing w:val="-19"/>
          <w:sz w:val="24"/>
        </w:rPr>
        <w:t xml:space="preserve"> </w:t>
      </w:r>
      <w:r>
        <w:rPr>
          <w:sz w:val="24"/>
        </w:rPr>
        <w:t>procedures.</w:t>
      </w:r>
    </w:p>
    <w:p w:rsidR="004642A7" w:rsidRDefault="004642A7" w:rsidP="004642A7">
      <w:pPr>
        <w:pStyle w:val="ListParagraph"/>
        <w:numPr>
          <w:ilvl w:val="0"/>
          <w:numId w:val="2"/>
        </w:numPr>
        <w:tabs>
          <w:tab w:val="left" w:pos="1659"/>
          <w:tab w:val="left" w:pos="1660"/>
        </w:tabs>
        <w:spacing w:before="0" w:line="273" w:lineRule="auto"/>
        <w:ind w:left="1659" w:right="933"/>
        <w:rPr>
          <w:sz w:val="24"/>
        </w:rPr>
      </w:pPr>
      <w:r>
        <w:rPr>
          <w:sz w:val="24"/>
        </w:rPr>
        <w:t>Address questions of epistemology, authority, and methodological reflexivity that have been important within gender and sexuality</w:t>
      </w:r>
      <w:r>
        <w:rPr>
          <w:spacing w:val="-7"/>
          <w:sz w:val="24"/>
        </w:rPr>
        <w:t xml:space="preserve"> </w:t>
      </w:r>
      <w:r>
        <w:rPr>
          <w:sz w:val="24"/>
        </w:rPr>
        <w:t>studies.</w:t>
      </w:r>
    </w:p>
    <w:p w:rsidR="004642A7" w:rsidRDefault="004642A7" w:rsidP="004642A7">
      <w:pPr>
        <w:pStyle w:val="ListParagraph"/>
        <w:numPr>
          <w:ilvl w:val="0"/>
          <w:numId w:val="2"/>
        </w:numPr>
        <w:tabs>
          <w:tab w:val="left" w:pos="1659"/>
          <w:tab w:val="left" w:pos="1660"/>
        </w:tabs>
        <w:spacing w:before="0" w:line="273" w:lineRule="auto"/>
        <w:ind w:left="1659" w:right="734"/>
        <w:rPr>
          <w:sz w:val="24"/>
        </w:rPr>
      </w:pPr>
      <w:r>
        <w:rPr>
          <w:sz w:val="24"/>
        </w:rPr>
        <w:t>Explore the characteristics and uses of theory in disciplinary and interdisciplinary</w:t>
      </w:r>
      <w:r>
        <w:rPr>
          <w:spacing w:val="-20"/>
          <w:sz w:val="24"/>
        </w:rPr>
        <w:t xml:space="preserve"> </w:t>
      </w:r>
      <w:r>
        <w:rPr>
          <w:sz w:val="24"/>
        </w:rPr>
        <w:t>studies of sexuality and</w:t>
      </w:r>
      <w:r>
        <w:rPr>
          <w:spacing w:val="-5"/>
          <w:sz w:val="24"/>
        </w:rPr>
        <w:t xml:space="preserve"> </w:t>
      </w:r>
      <w:r>
        <w:rPr>
          <w:sz w:val="24"/>
        </w:rPr>
        <w:t>gender</w:t>
      </w:r>
    </w:p>
    <w:p w:rsidR="004642A7" w:rsidRDefault="004642A7" w:rsidP="004642A7">
      <w:pPr>
        <w:pStyle w:val="BodyText"/>
        <w:spacing w:before="3"/>
        <w:ind w:left="0"/>
        <w:rPr>
          <w:sz w:val="28"/>
        </w:rPr>
      </w:pPr>
    </w:p>
    <w:p w:rsidR="004642A7" w:rsidRDefault="004642A7" w:rsidP="004642A7">
      <w:pPr>
        <w:pStyle w:val="Heading4"/>
        <w:ind w:left="939"/>
      </w:pPr>
      <w:r>
        <w:t>Contents:</w:t>
      </w:r>
    </w:p>
    <w:p w:rsidR="004642A7" w:rsidRDefault="004642A7" w:rsidP="004642A7">
      <w:pPr>
        <w:pStyle w:val="ListParagraph"/>
        <w:numPr>
          <w:ilvl w:val="0"/>
          <w:numId w:val="1"/>
        </w:numPr>
        <w:tabs>
          <w:tab w:val="left" w:pos="1300"/>
        </w:tabs>
        <w:ind w:hanging="361"/>
        <w:rPr>
          <w:b/>
          <w:sz w:val="24"/>
        </w:rPr>
      </w:pPr>
      <w:r>
        <w:rPr>
          <w:b/>
          <w:sz w:val="24"/>
        </w:rPr>
        <w:t>Concepts, Theories – “Men’s” and “Women’s”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Speech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spacing w:before="36"/>
        <w:ind w:hanging="433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ind w:hanging="433"/>
        <w:rPr>
          <w:sz w:val="24"/>
        </w:rPr>
      </w:pPr>
      <w:r>
        <w:rPr>
          <w:sz w:val="24"/>
        </w:rPr>
        <w:t>Performing in the heterosexual</w:t>
      </w:r>
      <w:r>
        <w:rPr>
          <w:spacing w:val="-5"/>
          <w:sz w:val="24"/>
        </w:rPr>
        <w:t xml:space="preserve"> </w:t>
      </w:r>
      <w:r>
        <w:rPr>
          <w:sz w:val="24"/>
        </w:rPr>
        <w:t>marketplace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spacing w:before="43"/>
        <w:ind w:hanging="433"/>
        <w:rPr>
          <w:sz w:val="24"/>
        </w:rPr>
      </w:pPr>
      <w:r>
        <w:rPr>
          <w:spacing w:val="1"/>
          <w:sz w:val="24"/>
        </w:rPr>
        <w:t>W</w:t>
      </w:r>
      <w:r>
        <w:rPr>
          <w:sz w:val="24"/>
        </w:rPr>
        <w:t>om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w w:val="42"/>
          <w:sz w:val="24"/>
        </w:rPr>
        <w:t>ʼ</w:t>
      </w:r>
      <w:r>
        <w:rPr>
          <w:sz w:val="24"/>
        </w:rPr>
        <w:t>s”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pacing w:val="-3"/>
          <w:sz w:val="24"/>
        </w:rPr>
        <w:t>g</w:t>
      </w:r>
      <w:r>
        <w:rPr>
          <w:sz w:val="24"/>
        </w:rPr>
        <w:t>u</w:t>
      </w:r>
      <w:r>
        <w:rPr>
          <w:spacing w:val="1"/>
          <w:sz w:val="24"/>
        </w:rPr>
        <w:t>a</w:t>
      </w:r>
      <w:r>
        <w:rPr>
          <w:spacing w:val="-3"/>
          <w:sz w:val="24"/>
        </w:rPr>
        <w:t>g</w:t>
      </w:r>
      <w:r>
        <w:rPr>
          <w:spacing w:val="-1"/>
          <w:sz w:val="24"/>
        </w:rPr>
        <w:t>e?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ind w:hanging="433"/>
        <w:rPr>
          <w:sz w:val="24"/>
        </w:rPr>
      </w:pPr>
      <w:r>
        <w:rPr>
          <w:sz w:val="24"/>
        </w:rPr>
        <w:t>Gender and its intersects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ind w:hanging="433"/>
        <w:rPr>
          <w:sz w:val="24"/>
        </w:rPr>
      </w:pPr>
      <w:r>
        <w:rPr>
          <w:sz w:val="24"/>
        </w:rPr>
        <w:t>Privilege, Patriarchy and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</w:p>
    <w:p w:rsidR="004642A7" w:rsidRDefault="004642A7" w:rsidP="004642A7">
      <w:pPr>
        <w:pStyle w:val="Heading4"/>
        <w:numPr>
          <w:ilvl w:val="0"/>
          <w:numId w:val="1"/>
        </w:numPr>
        <w:tabs>
          <w:tab w:val="left" w:pos="1300"/>
        </w:tabs>
        <w:spacing w:before="45" w:line="276" w:lineRule="auto"/>
        <w:ind w:left="1299" w:right="1337"/>
      </w:pPr>
      <w:r>
        <w:t>The “Power” (dominance) Model; ideas about gender and language in the field of linguistics</w:t>
      </w:r>
    </w:p>
    <w:p w:rsidR="004642A7" w:rsidRDefault="004642A7" w:rsidP="004642A7">
      <w:pPr>
        <w:pStyle w:val="ListParagraph"/>
        <w:numPr>
          <w:ilvl w:val="0"/>
          <w:numId w:val="1"/>
        </w:numPr>
        <w:tabs>
          <w:tab w:val="left" w:pos="1300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Socializing Gender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Language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spacing w:before="36"/>
        <w:rPr>
          <w:sz w:val="24"/>
        </w:rPr>
      </w:pPr>
      <w:r>
        <w:rPr>
          <w:sz w:val="24"/>
        </w:rPr>
        <w:t>Analyzing Male/Female interactions, comparing</w:t>
      </w:r>
      <w:r>
        <w:rPr>
          <w:spacing w:val="-8"/>
          <w:sz w:val="24"/>
        </w:rPr>
        <w:t xml:space="preserve"> </w:t>
      </w:r>
      <w:r>
        <w:rPr>
          <w:sz w:val="24"/>
        </w:rPr>
        <w:t>strategies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spacing w:before="40"/>
        <w:rPr>
          <w:sz w:val="24"/>
        </w:rPr>
      </w:pPr>
      <w:r>
        <w:rPr>
          <w:sz w:val="24"/>
        </w:rPr>
        <w:t>Performing gender norms:</w:t>
      </w:r>
      <w:r>
        <w:rPr>
          <w:spacing w:val="-2"/>
          <w:sz w:val="24"/>
        </w:rPr>
        <w:t xml:space="preserve"> </w:t>
      </w:r>
      <w:r>
        <w:rPr>
          <w:sz w:val="24"/>
        </w:rPr>
        <w:t>Femininities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rPr>
          <w:sz w:val="24"/>
        </w:rPr>
      </w:pPr>
      <w:r>
        <w:rPr>
          <w:sz w:val="24"/>
        </w:rPr>
        <w:t>Categories of gender, language and sexuality – cross cultural</w:t>
      </w:r>
      <w:r>
        <w:rPr>
          <w:spacing w:val="-7"/>
          <w:sz w:val="24"/>
        </w:rPr>
        <w:t xml:space="preserve"> </w:t>
      </w:r>
      <w:r>
        <w:rPr>
          <w:sz w:val="24"/>
        </w:rPr>
        <w:t>examples</w:t>
      </w:r>
    </w:p>
    <w:p w:rsidR="004642A7" w:rsidRDefault="004642A7" w:rsidP="004642A7">
      <w:pPr>
        <w:rPr>
          <w:sz w:val="24"/>
        </w:rPr>
        <w:sectPr w:rsidR="004642A7">
          <w:pgSz w:w="12240" w:h="15840"/>
          <w:pgMar w:top="1260" w:right="780" w:bottom="1300" w:left="500" w:header="0" w:footer="1113" w:gutter="0"/>
          <w:cols w:space="720"/>
        </w:sectPr>
      </w:pPr>
    </w:p>
    <w:p w:rsidR="004642A7" w:rsidRDefault="004642A7" w:rsidP="004642A7">
      <w:pPr>
        <w:pStyle w:val="Heading4"/>
        <w:numPr>
          <w:ilvl w:val="0"/>
          <w:numId w:val="1"/>
        </w:numPr>
        <w:tabs>
          <w:tab w:val="left" w:pos="1300"/>
        </w:tabs>
        <w:spacing w:before="79"/>
      </w:pPr>
      <w:r>
        <w:lastRenderedPageBreak/>
        <w:t>Language, sexual orientation and</w:t>
      </w:r>
      <w:r>
        <w:rPr>
          <w:spacing w:val="-1"/>
        </w:rPr>
        <w:t xml:space="preserve"> </w:t>
      </w:r>
      <w:r>
        <w:t>identity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spacing w:before="36"/>
        <w:rPr>
          <w:sz w:val="24"/>
        </w:rPr>
      </w:pPr>
      <w:r>
        <w:rPr>
          <w:sz w:val="24"/>
        </w:rPr>
        <w:t>Role of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rPr>
          <w:sz w:val="24"/>
        </w:rPr>
      </w:pPr>
      <w:r>
        <w:rPr>
          <w:sz w:val="24"/>
        </w:rPr>
        <w:t>Gender discrimination in</w:t>
      </w:r>
      <w:r>
        <w:rPr>
          <w:spacing w:val="-2"/>
          <w:sz w:val="24"/>
        </w:rPr>
        <w:t xml:space="preserve"> </w:t>
      </w:r>
      <w:r>
        <w:rPr>
          <w:sz w:val="24"/>
        </w:rPr>
        <w:t>Proverbs</w:t>
      </w:r>
    </w:p>
    <w:p w:rsidR="004642A7" w:rsidRDefault="004642A7" w:rsidP="004642A7">
      <w:pPr>
        <w:pStyle w:val="ListParagraph"/>
        <w:numPr>
          <w:ilvl w:val="1"/>
          <w:numId w:val="1"/>
        </w:numPr>
        <w:tabs>
          <w:tab w:val="left" w:pos="1732"/>
        </w:tabs>
        <w:spacing w:before="43"/>
        <w:rPr>
          <w:sz w:val="24"/>
        </w:rPr>
      </w:pPr>
      <w:r>
        <w:rPr>
          <w:sz w:val="24"/>
        </w:rPr>
        <w:t>Abusive language and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</w:p>
    <w:p w:rsidR="004642A7" w:rsidRDefault="004642A7" w:rsidP="004642A7">
      <w:pPr>
        <w:pStyle w:val="Heading4"/>
        <w:numPr>
          <w:ilvl w:val="0"/>
          <w:numId w:val="1"/>
        </w:numPr>
        <w:tabs>
          <w:tab w:val="left" w:pos="1300"/>
        </w:tabs>
        <w:spacing w:before="46"/>
        <w:ind w:hanging="361"/>
      </w:pPr>
      <w:r>
        <w:t>Debates on the Category of</w:t>
      </w:r>
      <w:r>
        <w:rPr>
          <w:spacing w:val="-1"/>
        </w:rPr>
        <w:t xml:space="preserve"> </w:t>
      </w:r>
      <w:r>
        <w:t>“Woman”</w:t>
      </w:r>
    </w:p>
    <w:p w:rsidR="004642A7" w:rsidRDefault="004642A7" w:rsidP="004642A7">
      <w:pPr>
        <w:pStyle w:val="ListParagraph"/>
        <w:numPr>
          <w:ilvl w:val="0"/>
          <w:numId w:val="1"/>
        </w:numPr>
        <w:tabs>
          <w:tab w:val="left" w:pos="1300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Response to Gender Essentializing/Universalism: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Masculinities</w:t>
      </w:r>
    </w:p>
    <w:p w:rsidR="004642A7" w:rsidRDefault="004642A7" w:rsidP="004642A7">
      <w:pPr>
        <w:pStyle w:val="ListParagraph"/>
        <w:numPr>
          <w:ilvl w:val="0"/>
          <w:numId w:val="1"/>
        </w:numPr>
        <w:tabs>
          <w:tab w:val="left" w:pos="1300"/>
        </w:tabs>
        <w:ind w:hanging="361"/>
        <w:rPr>
          <w:b/>
          <w:sz w:val="24"/>
        </w:rPr>
      </w:pPr>
      <w:r>
        <w:rPr>
          <w:b/>
          <w:sz w:val="24"/>
        </w:rPr>
        <w:t>Theory, Politics, and Social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Change</w:t>
      </w:r>
    </w:p>
    <w:p w:rsidR="004642A7" w:rsidRDefault="004642A7" w:rsidP="004642A7">
      <w:pPr>
        <w:pStyle w:val="BodyText"/>
        <w:spacing w:before="4"/>
        <w:ind w:left="0"/>
        <w:rPr>
          <w:b/>
          <w:sz w:val="31"/>
        </w:rPr>
      </w:pPr>
    </w:p>
    <w:p w:rsidR="004642A7" w:rsidRDefault="004642A7" w:rsidP="004642A7">
      <w:pPr>
        <w:ind w:left="939"/>
        <w:rPr>
          <w:b/>
          <w:sz w:val="24"/>
        </w:rPr>
      </w:pPr>
      <w:r>
        <w:rPr>
          <w:b/>
          <w:sz w:val="24"/>
        </w:rPr>
        <w:t>Recommended Readings:</w:t>
      </w:r>
    </w:p>
    <w:p w:rsidR="004642A7" w:rsidRDefault="004642A7" w:rsidP="004642A7">
      <w:pPr>
        <w:pStyle w:val="BodyText"/>
        <w:spacing w:before="36"/>
        <w:ind w:left="939"/>
      </w:pPr>
      <w:r>
        <w:t>Bing, Janet and Victoria Bervall. (2011). The Question of Questions: Beyond Binary Thinking.</w:t>
      </w:r>
    </w:p>
    <w:p w:rsidR="004642A7" w:rsidRDefault="004642A7" w:rsidP="004642A7">
      <w:pPr>
        <w:pStyle w:val="BodyText"/>
        <w:spacing w:line="278" w:lineRule="auto"/>
        <w:ind w:left="939" w:right="596" w:firstLine="631"/>
      </w:pPr>
      <w:r>
        <w:t xml:space="preserve">In J. Coates, ed. </w:t>
      </w:r>
      <w:r>
        <w:rPr>
          <w:i/>
        </w:rPr>
        <w:t>Language and Gender: A Reader</w:t>
      </w:r>
      <w:r>
        <w:t>. London: Blackwell. Pp. 495-510 Cameron, Deborah (1997). Performing Gender Identity: Young Men’s Talk and the</w:t>
      </w:r>
    </w:p>
    <w:p w:rsidR="004642A7" w:rsidRDefault="004642A7" w:rsidP="004642A7">
      <w:pPr>
        <w:pStyle w:val="BodyText"/>
        <w:spacing w:before="0" w:line="276" w:lineRule="auto"/>
        <w:ind w:left="1571" w:right="596"/>
      </w:pPr>
      <w:r>
        <w:t xml:space="preserve">Construction of Heterosexual Masculinity. </w:t>
      </w:r>
      <w:r>
        <w:rPr>
          <w:i/>
        </w:rPr>
        <w:t>Language and Masculinity</w:t>
      </w:r>
      <w:r>
        <w:t>. Meinhof and Johnson, eds. London: Blackwell. pp.47-64</w:t>
      </w:r>
    </w:p>
    <w:p w:rsidR="004642A7" w:rsidRDefault="004642A7" w:rsidP="004642A7">
      <w:pPr>
        <w:spacing w:line="278" w:lineRule="auto"/>
        <w:ind w:left="1571" w:right="943" w:hanging="632"/>
        <w:rPr>
          <w:sz w:val="24"/>
        </w:rPr>
      </w:pPr>
      <w:r>
        <w:rPr>
          <w:sz w:val="24"/>
        </w:rPr>
        <w:t xml:space="preserve">Cameron, Deborah and Kulick, Don. (2003). </w:t>
      </w:r>
      <w:r>
        <w:rPr>
          <w:i/>
          <w:sz w:val="24"/>
        </w:rPr>
        <w:t xml:space="preserve">Language and Sexuality. </w:t>
      </w:r>
      <w:r>
        <w:rPr>
          <w:sz w:val="24"/>
        </w:rPr>
        <w:t>Cambridge: Cambridge University Press.</w:t>
      </w:r>
    </w:p>
    <w:p w:rsidR="004642A7" w:rsidRDefault="004642A7" w:rsidP="004642A7">
      <w:pPr>
        <w:pStyle w:val="BodyText"/>
        <w:spacing w:before="0" w:line="276" w:lineRule="auto"/>
        <w:ind w:left="1571" w:right="596" w:hanging="632"/>
      </w:pPr>
      <w:r>
        <w:t xml:space="preserve">Coates, Jennifer. (1996). “Thank God I’m a Woman”: The Construction of Differing Femininities.” </w:t>
      </w:r>
      <w:r>
        <w:rPr>
          <w:i/>
        </w:rPr>
        <w:t>Women Talk</w:t>
      </w:r>
      <w:r>
        <w:t>. London: Blackwell. Pp. 232-262.</w:t>
      </w:r>
    </w:p>
    <w:p w:rsidR="004642A7" w:rsidRDefault="004642A7" w:rsidP="004642A7">
      <w:pPr>
        <w:pStyle w:val="BodyText"/>
        <w:spacing w:before="0" w:line="278" w:lineRule="auto"/>
        <w:ind w:left="1571" w:right="1309" w:hanging="632"/>
      </w:pPr>
      <w:r>
        <w:t xml:space="preserve">Eckert, Penelope and McConnell-Ginet, Sally. (2003). </w:t>
      </w:r>
      <w:r>
        <w:rPr>
          <w:i/>
        </w:rPr>
        <w:t xml:space="preserve">Language and Gender. </w:t>
      </w:r>
      <w:r>
        <w:t>Cambridge: Cambridge University Press.</w:t>
      </w:r>
    </w:p>
    <w:p w:rsidR="004642A7" w:rsidRDefault="004642A7" w:rsidP="004642A7">
      <w:pPr>
        <w:pStyle w:val="BodyText"/>
        <w:spacing w:before="0" w:line="276" w:lineRule="auto"/>
        <w:ind w:left="1571" w:right="716" w:hanging="632"/>
      </w:pPr>
      <w:r>
        <w:t xml:space="preserve">Gal, S. (1995) .Language, Gender and Power: An Anthropological Review. In </w:t>
      </w:r>
      <w:r>
        <w:rPr>
          <w:i/>
        </w:rPr>
        <w:t>Gender Articulated</w:t>
      </w:r>
      <w:r>
        <w:t>. K. Hall and M. Bucholtz, eds. New York: Routledge. pp. 169-182</w:t>
      </w:r>
    </w:p>
    <w:p w:rsidR="004642A7" w:rsidRDefault="004642A7" w:rsidP="004642A7">
      <w:pPr>
        <w:spacing w:line="276" w:lineRule="auto"/>
        <w:ind w:left="1571" w:right="596" w:hanging="632"/>
        <w:rPr>
          <w:sz w:val="24"/>
        </w:rPr>
      </w:pPr>
      <w:r>
        <w:rPr>
          <w:sz w:val="24"/>
        </w:rPr>
        <w:t xml:space="preserve">Hall, K. (1998). Lip service on the Fantasy Lines. </w:t>
      </w:r>
      <w:r>
        <w:rPr>
          <w:i/>
          <w:sz w:val="24"/>
        </w:rPr>
        <w:t>The Feminist Critique of Language</w:t>
      </w:r>
      <w:r>
        <w:rPr>
          <w:sz w:val="24"/>
        </w:rPr>
        <w:t>, D. Cameron, ed. New York: Routledge. pp. 321-342</w:t>
      </w:r>
    </w:p>
    <w:p w:rsidR="004642A7" w:rsidRDefault="004642A7" w:rsidP="004642A7">
      <w:pPr>
        <w:spacing w:line="276" w:lineRule="auto"/>
        <w:ind w:left="1571" w:right="1023" w:hanging="632"/>
        <w:rPr>
          <w:sz w:val="24"/>
        </w:rPr>
      </w:pPr>
      <w:r>
        <w:rPr>
          <w:sz w:val="24"/>
        </w:rPr>
        <w:t xml:space="preserve">Hall, Kira and Bucholtz, Mary (eds.). (1995). </w:t>
      </w:r>
      <w:r>
        <w:rPr>
          <w:i/>
          <w:sz w:val="24"/>
        </w:rPr>
        <w:t xml:space="preserve">Gender Articulated: Language and the Socially Constructed Self. </w:t>
      </w:r>
      <w:r>
        <w:rPr>
          <w:sz w:val="24"/>
        </w:rPr>
        <w:t>New York: Oxford University Press</w:t>
      </w:r>
    </w:p>
    <w:p w:rsidR="004642A7" w:rsidRDefault="004642A7" w:rsidP="004642A7">
      <w:pPr>
        <w:spacing w:line="275" w:lineRule="exact"/>
        <w:ind w:left="939"/>
        <w:rPr>
          <w:i/>
          <w:sz w:val="24"/>
        </w:rPr>
      </w:pPr>
      <w:r>
        <w:rPr>
          <w:sz w:val="24"/>
        </w:rPr>
        <w:t>Janet Holmes and Miriam Meyerhoff (eds.). (2003)</w:t>
      </w:r>
      <w:r>
        <w:rPr>
          <w:i/>
          <w:sz w:val="24"/>
        </w:rPr>
        <w:t>. The Handbook of Language and Gender.</w:t>
      </w:r>
    </w:p>
    <w:p w:rsidR="004642A7" w:rsidRDefault="004642A7" w:rsidP="004642A7">
      <w:pPr>
        <w:pStyle w:val="BodyText"/>
        <w:spacing w:before="25"/>
        <w:ind w:left="1571"/>
      </w:pPr>
      <w:r>
        <w:t>Oxford: Blackwell</w:t>
      </w:r>
    </w:p>
    <w:p w:rsidR="004642A7" w:rsidRDefault="004642A7" w:rsidP="004642A7">
      <w:pPr>
        <w:spacing w:before="44" w:line="276" w:lineRule="auto"/>
        <w:ind w:left="1571" w:right="969" w:hanging="632"/>
        <w:rPr>
          <w:sz w:val="24"/>
        </w:rPr>
      </w:pPr>
      <w:r>
        <w:rPr>
          <w:sz w:val="24"/>
        </w:rPr>
        <w:t xml:space="preserve">Martin, Emily. (2001). </w:t>
      </w:r>
      <w:r>
        <w:rPr>
          <w:i/>
          <w:sz w:val="24"/>
        </w:rPr>
        <w:t>The Woman in the Body: A Cultural Analysis of Reproduction</w:t>
      </w:r>
      <w:r>
        <w:rPr>
          <w:sz w:val="24"/>
        </w:rPr>
        <w:t>. Beacon Press.</w:t>
      </w:r>
    </w:p>
    <w:p w:rsidR="004642A7" w:rsidRDefault="004642A7" w:rsidP="004642A7">
      <w:pPr>
        <w:spacing w:line="276" w:lineRule="auto"/>
        <w:ind w:left="1571" w:right="863" w:hanging="632"/>
        <w:rPr>
          <w:sz w:val="24"/>
        </w:rPr>
      </w:pPr>
      <w:r>
        <w:rPr>
          <w:sz w:val="24"/>
        </w:rPr>
        <w:t xml:space="preserve">Schieffelin, B. (1990). The Socialization of Gender-Appropriate Behaviors. </w:t>
      </w:r>
      <w:r>
        <w:rPr>
          <w:i/>
          <w:sz w:val="24"/>
        </w:rPr>
        <w:t>The Give and Take of Everyday Life: Language Socialization of Kaluli Children</w:t>
      </w:r>
      <w:r>
        <w:rPr>
          <w:sz w:val="24"/>
        </w:rPr>
        <w:t>. Cambridge: University Press. pp. 202-238</w:t>
      </w:r>
    </w:p>
    <w:p w:rsidR="004642A7" w:rsidRDefault="004642A7" w:rsidP="004642A7">
      <w:pPr>
        <w:spacing w:line="276" w:lineRule="auto"/>
        <w:ind w:left="1571" w:right="1715" w:hanging="632"/>
        <w:rPr>
          <w:sz w:val="24"/>
        </w:rPr>
      </w:pPr>
      <w:r>
        <w:rPr>
          <w:sz w:val="24"/>
        </w:rPr>
        <w:t xml:space="preserve">Wekker, Gloria. (2006). </w:t>
      </w:r>
      <w:r>
        <w:rPr>
          <w:i/>
          <w:sz w:val="24"/>
        </w:rPr>
        <w:t>The Politics of Passion: Women’s Sexual Culture in the Afro- Surinamese Diaspora</w:t>
      </w:r>
      <w:r>
        <w:rPr>
          <w:sz w:val="24"/>
        </w:rPr>
        <w:t>. Columbia University Press.</w:t>
      </w:r>
    </w:p>
    <w:p w:rsidR="004642A7" w:rsidRDefault="004642A7" w:rsidP="004642A7">
      <w:pPr>
        <w:spacing w:line="276" w:lineRule="auto"/>
        <w:rPr>
          <w:sz w:val="24"/>
        </w:rPr>
        <w:sectPr w:rsidR="004642A7">
          <w:pgSz w:w="12240" w:h="15840"/>
          <w:pgMar w:top="1360" w:right="780" w:bottom="1300" w:left="500" w:header="0" w:footer="1113" w:gutter="0"/>
          <w:cols w:space="720"/>
        </w:sectPr>
      </w:pPr>
    </w:p>
    <w:p w:rsidR="00EA54FC" w:rsidRDefault="00EA54FC">
      <w:bookmarkStart w:id="0" w:name="_GoBack"/>
      <w:bookmarkEnd w:id="0"/>
    </w:p>
    <w:sectPr w:rsidR="00EA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D7B70"/>
    <w:multiLevelType w:val="hybridMultilevel"/>
    <w:tmpl w:val="71AC4BE2"/>
    <w:lvl w:ilvl="0" w:tplc="957E7830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EACD18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 w:tplc="B1827D6E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3" w:tplc="70840BD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287EAE5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F47A9B02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1E5E3E0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5090135E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393E769C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">
    <w:nsid w:val="60E040C9"/>
    <w:multiLevelType w:val="multilevel"/>
    <w:tmpl w:val="A8D4707E"/>
    <w:lvl w:ilvl="0">
      <w:start w:val="1"/>
      <w:numFmt w:val="decimal"/>
      <w:lvlText w:val="%1."/>
      <w:lvlJc w:val="left"/>
      <w:pPr>
        <w:ind w:left="1300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3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64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88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3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7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1" w:hanging="4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A7"/>
    <w:rsid w:val="004642A7"/>
    <w:rsid w:val="00E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0C71E-8F17-485C-93EA-5E4F1310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4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4642A7"/>
    <w:pPr>
      <w:ind w:left="13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642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42A7"/>
    <w:pPr>
      <w:spacing w:before="41"/>
      <w:ind w:left="173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42A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642A7"/>
    <w:pPr>
      <w:spacing w:before="41"/>
      <w:ind w:left="1732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Fayyaz</dc:creator>
  <cp:keywords/>
  <dc:description/>
  <cp:lastModifiedBy>Ayesha Fayyaz</cp:lastModifiedBy>
  <cp:revision>1</cp:revision>
  <dcterms:created xsi:type="dcterms:W3CDTF">2021-04-09T06:03:00Z</dcterms:created>
  <dcterms:modified xsi:type="dcterms:W3CDTF">2021-04-09T06:03:00Z</dcterms:modified>
</cp:coreProperties>
</file>