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B3" w:rsidRPr="00552E3D" w:rsidRDefault="004832B3" w:rsidP="004832B3">
      <w:pPr>
        <w:jc w:val="center"/>
        <w:rPr>
          <w:b/>
          <w:sz w:val="32"/>
        </w:rPr>
      </w:pPr>
      <w:r w:rsidRPr="00552E3D">
        <w:rPr>
          <w:b/>
          <w:sz w:val="32"/>
        </w:rPr>
        <w:t>CONTEMPORARY SOCIOLOGICAL THEORIES</w:t>
      </w:r>
    </w:p>
    <w:p w:rsidR="004832B3" w:rsidRDefault="004832B3" w:rsidP="004832B3">
      <w:pPr>
        <w:spacing w:after="0" w:line="240" w:lineRule="auto"/>
        <w:rPr>
          <w:b/>
        </w:rPr>
      </w:pPr>
    </w:p>
    <w:p w:rsidR="004832B3" w:rsidRPr="00D8540C" w:rsidRDefault="004832B3" w:rsidP="004832B3">
      <w:pPr>
        <w:rPr>
          <w:b/>
          <w:sz w:val="10"/>
        </w:rPr>
      </w:pPr>
      <w:bookmarkStart w:id="0" w:name="_GoBack"/>
      <w:bookmarkEnd w:id="0"/>
    </w:p>
    <w:p w:rsidR="004832B3" w:rsidRPr="00552E3D" w:rsidRDefault="004832B3" w:rsidP="004832B3">
      <w:pPr>
        <w:rPr>
          <w:b/>
        </w:rPr>
      </w:pPr>
      <w:r w:rsidRPr="00552E3D">
        <w:rPr>
          <w:b/>
        </w:rPr>
        <w:t>COURSE DESCRIPTION:</w:t>
      </w:r>
    </w:p>
    <w:p w:rsidR="004832B3" w:rsidRPr="00552E3D" w:rsidRDefault="004832B3" w:rsidP="004832B3">
      <w:r w:rsidRPr="00552E3D">
        <w:t xml:space="preserve">This course aims at introducing students to the contemporary sociological theories with the aim of highlighting the relevance of both in the contemporary society. Special emphasis would be paid on how sociologists in different eras engaged their respective societies to derive a theory and how these theories continued to remain relevant as times and power dynamics changed. Whereas independent, critical analysis of the works by the students would be highly appreciated, students should first try to understand the text on its own terms before pointing out the shortcomings. </w:t>
      </w:r>
    </w:p>
    <w:p w:rsidR="004832B3" w:rsidRDefault="004832B3" w:rsidP="004832B3"/>
    <w:p w:rsidR="004832B3" w:rsidRPr="00EF126A" w:rsidRDefault="004832B3" w:rsidP="004832B3">
      <w:pPr>
        <w:rPr>
          <w:b/>
          <w:bCs/>
          <w:caps/>
        </w:rPr>
      </w:pPr>
      <w:r w:rsidRPr="00EF126A">
        <w:rPr>
          <w:b/>
          <w:bCs/>
          <w:caps/>
        </w:rPr>
        <w:t>Grade breakup:</w:t>
      </w:r>
    </w:p>
    <w:p w:rsidR="004832B3" w:rsidRPr="00EF126A" w:rsidRDefault="004832B3" w:rsidP="004832B3">
      <w:r w:rsidRPr="00EF126A">
        <w:tab/>
        <w:t>Class participation and attendance</w:t>
      </w:r>
      <w:r w:rsidRPr="00EF126A">
        <w:tab/>
      </w:r>
      <w:r w:rsidRPr="00EF126A">
        <w:tab/>
      </w:r>
      <w:r w:rsidRPr="00EF126A">
        <w:tab/>
        <w:t>10%</w:t>
      </w:r>
    </w:p>
    <w:p w:rsidR="004832B3" w:rsidRPr="00EF126A" w:rsidRDefault="004832B3" w:rsidP="004832B3">
      <w:r w:rsidRPr="00EF126A">
        <w:tab/>
        <w:t>Quizzes</w:t>
      </w:r>
      <w:r w:rsidRPr="00EF126A">
        <w:tab/>
      </w:r>
      <w:r w:rsidRPr="00EF126A">
        <w:tab/>
      </w:r>
      <w:r w:rsidRPr="00EF126A">
        <w:tab/>
      </w:r>
      <w:r w:rsidRPr="00EF126A">
        <w:tab/>
      </w:r>
      <w:r w:rsidRPr="00EF126A">
        <w:tab/>
      </w:r>
      <w:r w:rsidRPr="00EF126A">
        <w:tab/>
      </w:r>
      <w:r w:rsidRPr="00EF126A">
        <w:tab/>
        <w:t>20%</w:t>
      </w:r>
    </w:p>
    <w:p w:rsidR="004832B3" w:rsidRPr="00EF126A" w:rsidRDefault="004832B3" w:rsidP="004832B3">
      <w:pPr>
        <w:ind w:firstLine="720"/>
      </w:pPr>
      <w:r w:rsidRPr="00EF126A">
        <w:t>Mid-term exam</w:t>
      </w:r>
      <w:r w:rsidRPr="00EF126A">
        <w:tab/>
      </w:r>
      <w:r w:rsidRPr="00EF126A">
        <w:tab/>
      </w:r>
      <w:r w:rsidRPr="00EF126A">
        <w:tab/>
      </w:r>
      <w:r w:rsidRPr="00EF126A">
        <w:tab/>
      </w:r>
      <w:r w:rsidRPr="00EF126A">
        <w:tab/>
      </w:r>
      <w:r w:rsidRPr="00EF126A">
        <w:tab/>
        <w:t>30%</w:t>
      </w:r>
    </w:p>
    <w:p w:rsidR="004832B3" w:rsidRPr="00EF126A" w:rsidRDefault="004832B3" w:rsidP="004832B3">
      <w:pPr>
        <w:ind w:firstLine="720"/>
      </w:pPr>
      <w:r w:rsidRPr="00EF126A">
        <w:t xml:space="preserve">Final Exam     </w:t>
      </w:r>
      <w:r w:rsidRPr="00EF126A">
        <w:tab/>
      </w:r>
      <w:r w:rsidRPr="00EF126A">
        <w:tab/>
      </w:r>
      <w:r w:rsidRPr="00EF126A">
        <w:tab/>
      </w:r>
      <w:r w:rsidRPr="00EF126A">
        <w:tab/>
      </w:r>
      <w:r w:rsidRPr="00EF126A">
        <w:tab/>
      </w:r>
      <w:r w:rsidRPr="00EF126A">
        <w:tab/>
        <w:t>40%</w:t>
      </w:r>
    </w:p>
    <w:p w:rsidR="004832B3" w:rsidRDefault="004832B3" w:rsidP="004832B3"/>
    <w:p w:rsidR="004832B3" w:rsidRPr="00552E3D" w:rsidRDefault="004832B3" w:rsidP="004832B3">
      <w:pPr>
        <w:rPr>
          <w:b/>
        </w:rPr>
      </w:pPr>
      <w:r w:rsidRPr="00552E3D">
        <w:rPr>
          <w:b/>
        </w:rPr>
        <w:t>REQUIRED READING:</w:t>
      </w:r>
    </w:p>
    <w:p w:rsidR="004832B3" w:rsidRPr="00552E3D" w:rsidRDefault="004832B3" w:rsidP="004832B3">
      <w:proofErr w:type="spellStart"/>
      <w:r w:rsidRPr="00552E3D">
        <w:t>Farganis</w:t>
      </w:r>
      <w:proofErr w:type="spellEnd"/>
      <w:r w:rsidRPr="00552E3D">
        <w:t>, James (</w:t>
      </w:r>
      <w:proofErr w:type="spellStart"/>
      <w:proofErr w:type="gramStart"/>
      <w:r w:rsidRPr="00552E3D">
        <w:t>ed</w:t>
      </w:r>
      <w:proofErr w:type="spellEnd"/>
      <w:proofErr w:type="gramEnd"/>
      <w:r w:rsidRPr="00552E3D">
        <w:t xml:space="preserve">) 2004 </w:t>
      </w:r>
      <w:r w:rsidRPr="00552E3D">
        <w:rPr>
          <w:i/>
        </w:rPr>
        <w:t>Readings in Social Theory- The Classical Tradition to Post-Modernism 4</w:t>
      </w:r>
      <w:r w:rsidRPr="00552E3D">
        <w:rPr>
          <w:i/>
          <w:vertAlign w:val="superscript"/>
        </w:rPr>
        <w:t>th</w:t>
      </w:r>
      <w:r w:rsidRPr="00552E3D">
        <w:rPr>
          <w:i/>
        </w:rPr>
        <w:t xml:space="preserve"> edition </w:t>
      </w:r>
      <w:r w:rsidRPr="00552E3D">
        <w:t>Boston: McGraw Hill</w:t>
      </w:r>
    </w:p>
    <w:p w:rsidR="004832B3" w:rsidRDefault="004832B3" w:rsidP="004832B3">
      <w:r w:rsidRPr="00552E3D">
        <w:t xml:space="preserve">Additional readings will be assigned as we progress through the course. </w:t>
      </w:r>
    </w:p>
    <w:p w:rsidR="004832B3" w:rsidRPr="00552E3D" w:rsidRDefault="004832B3" w:rsidP="004832B3"/>
    <w:p w:rsidR="004832B3" w:rsidRPr="00552E3D" w:rsidRDefault="004832B3" w:rsidP="004832B3">
      <w:pPr>
        <w:rPr>
          <w:b/>
        </w:rPr>
      </w:pPr>
      <w:r w:rsidRPr="00552E3D">
        <w:rPr>
          <w:b/>
        </w:rPr>
        <w:t>COURSE SCHEDULE</w:t>
      </w:r>
    </w:p>
    <w:tbl>
      <w:tblPr>
        <w:tblW w:w="10416" w:type="dxa"/>
        <w:tblCellSpacing w:w="0" w:type="dxa"/>
        <w:tblCellMar>
          <w:left w:w="0" w:type="dxa"/>
          <w:right w:w="0" w:type="dxa"/>
        </w:tblCellMar>
        <w:tblLook w:val="04A0" w:firstRow="1" w:lastRow="0" w:firstColumn="1" w:lastColumn="0" w:noHBand="0" w:noVBand="1"/>
      </w:tblPr>
      <w:tblGrid>
        <w:gridCol w:w="8910"/>
        <w:gridCol w:w="1506"/>
      </w:tblGrid>
      <w:tr w:rsidR="004832B3" w:rsidRPr="00552E3D" w:rsidTr="00D12CCE">
        <w:trPr>
          <w:tblCellSpacing w:w="0" w:type="dxa"/>
        </w:trPr>
        <w:tc>
          <w:tcPr>
            <w:tcW w:w="8910" w:type="dxa"/>
            <w:vAlign w:val="center"/>
            <w:hideMark/>
          </w:tcPr>
          <w:p w:rsidR="004832B3" w:rsidRDefault="004832B3" w:rsidP="00D12CCE">
            <w:pPr>
              <w:rPr>
                <w:b/>
              </w:rPr>
            </w:pPr>
          </w:p>
          <w:p w:rsidR="004832B3" w:rsidRPr="00552E3D" w:rsidRDefault="004832B3" w:rsidP="00D12CCE">
            <w:pPr>
              <w:rPr>
                <w:b/>
              </w:rPr>
            </w:pPr>
            <w:r w:rsidRPr="00552E3D">
              <w:rPr>
                <w:b/>
              </w:rPr>
              <w:t>Week 1</w:t>
            </w:r>
          </w:p>
        </w:tc>
        <w:tc>
          <w:tcPr>
            <w:tcW w:w="1506" w:type="dxa"/>
            <w:vAlign w:val="center"/>
            <w:hideMark/>
          </w:tcPr>
          <w:p w:rsidR="004832B3" w:rsidRPr="00552E3D" w:rsidRDefault="004832B3" w:rsidP="00D12CCE">
            <w:pPr>
              <w:rPr>
                <w:b/>
              </w:rPr>
            </w:pPr>
          </w:p>
        </w:tc>
      </w:tr>
      <w:tr w:rsidR="004832B3" w:rsidRPr="00552E3D" w:rsidTr="00D12CCE">
        <w:trPr>
          <w:tblCellSpacing w:w="0" w:type="dxa"/>
        </w:trPr>
        <w:tc>
          <w:tcPr>
            <w:tcW w:w="8910" w:type="dxa"/>
            <w:vAlign w:val="center"/>
            <w:hideMark/>
          </w:tcPr>
          <w:p w:rsidR="004832B3" w:rsidRPr="00552E3D" w:rsidRDefault="004832B3" w:rsidP="00D12CCE">
            <w:pPr>
              <w:rPr>
                <w:rFonts w:eastAsia="Times New Roman" w:cs="Times New Roman"/>
              </w:rPr>
            </w:pPr>
            <w:proofErr w:type="spellStart"/>
            <w:r w:rsidRPr="00552E3D">
              <w:rPr>
                <w:rFonts w:eastAsia="Times New Roman" w:cs="Times New Roman"/>
              </w:rPr>
              <w:t>Farganis</w:t>
            </w:r>
            <w:proofErr w:type="spellEnd"/>
            <w:r w:rsidRPr="00552E3D">
              <w:rPr>
                <w:rFonts w:eastAsia="Times New Roman" w:cs="Times New Roman"/>
              </w:rPr>
              <w:t xml:space="preserve">, J. (2004) “Chapter 7. Functionalism” in J. </w:t>
            </w:r>
            <w:proofErr w:type="spellStart"/>
            <w:r w:rsidRPr="00552E3D">
              <w:rPr>
                <w:rFonts w:eastAsia="Times New Roman" w:cs="Times New Roman"/>
              </w:rPr>
              <w:t>Farganis</w:t>
            </w:r>
            <w:proofErr w:type="spellEnd"/>
            <w:r w:rsidRPr="00552E3D">
              <w:rPr>
                <w:rFonts w:eastAsia="Times New Roman" w:cs="Times New Roman"/>
              </w:rPr>
              <w:t xml:space="preserve"> (ed.) </w:t>
            </w:r>
            <w:r w:rsidRPr="00552E3D">
              <w:rPr>
                <w:rStyle w:val="ft33"/>
                <w:rFonts w:eastAsia="Times New Roman" w:cs="Times New Roman"/>
                <w:i/>
              </w:rPr>
              <w:t>Readings in Social Theory- The Classical Tradition to Post-Modernism 4</w:t>
            </w:r>
            <w:r w:rsidRPr="00552E3D">
              <w:rPr>
                <w:rStyle w:val="ft34"/>
                <w:rFonts w:eastAsia="Times New Roman" w:cs="Times New Roman"/>
                <w:i/>
              </w:rPr>
              <w:t xml:space="preserve">th </w:t>
            </w:r>
            <w:r w:rsidRPr="00552E3D">
              <w:rPr>
                <w:rStyle w:val="ft33"/>
                <w:rFonts w:eastAsia="Times New Roman" w:cs="Times New Roman"/>
                <w:i/>
              </w:rPr>
              <w:t xml:space="preserve">edition. </w:t>
            </w:r>
            <w:r w:rsidRPr="00552E3D">
              <w:rPr>
                <w:rFonts w:eastAsia="Times New Roman" w:cs="Times New Roman"/>
              </w:rPr>
              <w:t xml:space="preserve">Boston: McGraw Hill pp. 181-191; 201-217; </w:t>
            </w:r>
          </w:p>
          <w:p w:rsidR="004832B3" w:rsidRPr="00552E3D" w:rsidRDefault="004832B3" w:rsidP="00D12CCE">
            <w:pPr>
              <w:rPr>
                <w:rFonts w:eastAsia="Times New Roman" w:cs="Times New Roman"/>
                <w:b/>
              </w:rPr>
            </w:pPr>
            <w:r w:rsidRPr="00552E3D">
              <w:rPr>
                <w:rFonts w:eastAsia="Times New Roman" w:cs="Times New Roman"/>
                <w:b/>
              </w:rPr>
              <w:t>Supplementary Reading</w:t>
            </w:r>
          </w:p>
          <w:p w:rsidR="004832B3" w:rsidRPr="00552E3D" w:rsidRDefault="004832B3" w:rsidP="00D12CCE">
            <w:pPr>
              <w:rPr>
                <w:rFonts w:eastAsia="Times New Roman" w:cs="Times New Roman"/>
              </w:rPr>
            </w:pPr>
            <w:proofErr w:type="spellStart"/>
            <w:r w:rsidRPr="00552E3D">
              <w:rPr>
                <w:rFonts w:eastAsia="Times New Roman" w:cs="Times New Roman"/>
              </w:rPr>
              <w:lastRenderedPageBreak/>
              <w:t>Ritzer</w:t>
            </w:r>
            <w:proofErr w:type="spellEnd"/>
            <w:r w:rsidRPr="00552E3D">
              <w:rPr>
                <w:rFonts w:eastAsia="Times New Roman" w:cs="Times New Roman"/>
              </w:rPr>
              <w:t xml:space="preserve">, G. &amp; Goodman, D. J. (2003) </w:t>
            </w:r>
            <w:r w:rsidRPr="00552E3D">
              <w:rPr>
                <w:rStyle w:val="ft23"/>
                <w:rFonts w:eastAsia="Times New Roman" w:cs="Times New Roman"/>
                <w:i/>
              </w:rPr>
              <w:t>Sociological Theory</w:t>
            </w:r>
            <w:r w:rsidRPr="00552E3D">
              <w:rPr>
                <w:rStyle w:val="ft23"/>
                <w:rFonts w:eastAsia="Times New Roman" w:cs="Times New Roman"/>
              </w:rPr>
              <w:t xml:space="preserve"> Sixth Ed</w:t>
            </w:r>
            <w:r w:rsidRPr="00552E3D">
              <w:rPr>
                <w:rFonts w:eastAsia="Times New Roman" w:cs="Times New Roman"/>
              </w:rPr>
              <w:t xml:space="preserve">. Boston: McGraw Hill ‘7, Structural Functionalism, </w:t>
            </w:r>
            <w:proofErr w:type="spellStart"/>
            <w:r w:rsidRPr="00552E3D">
              <w:rPr>
                <w:rFonts w:eastAsia="Times New Roman" w:cs="Times New Roman"/>
              </w:rPr>
              <w:t>Neofunctionalism</w:t>
            </w:r>
            <w:proofErr w:type="spellEnd"/>
            <w:r w:rsidRPr="00552E3D">
              <w:rPr>
                <w:rFonts w:eastAsia="Times New Roman" w:cs="Times New Roman"/>
              </w:rPr>
              <w:t>, and Conflict Theory’ pp. 226- 264</w:t>
            </w:r>
          </w:p>
          <w:p w:rsidR="004832B3" w:rsidRPr="00552E3D" w:rsidRDefault="004832B3" w:rsidP="00D12CCE"/>
          <w:p w:rsidR="004832B3" w:rsidRPr="00552E3D" w:rsidRDefault="004832B3" w:rsidP="00D12CCE">
            <w:pPr>
              <w:rPr>
                <w:b/>
              </w:rPr>
            </w:pPr>
            <w:r w:rsidRPr="00552E3D">
              <w:rPr>
                <w:b/>
              </w:rPr>
              <w:t>Week 2</w:t>
            </w:r>
          </w:p>
          <w:p w:rsidR="004832B3" w:rsidRPr="00552E3D" w:rsidRDefault="004832B3" w:rsidP="00D12CCE">
            <w:r w:rsidRPr="00552E3D">
              <w:t>Exchange Theory &amp; Rational Choice</w:t>
            </w:r>
          </w:p>
          <w:p w:rsidR="004832B3" w:rsidRPr="00552E3D" w:rsidRDefault="004832B3" w:rsidP="00D12CCE">
            <w:r w:rsidRPr="00552E3D">
              <w:rPr>
                <w:rFonts w:eastAsia="Times New Roman" w:cs="Times New Roman"/>
              </w:rPr>
              <w:t>“Chapter 9 Exchange Theory and Rational Choice” pp. 263-279</w:t>
            </w:r>
          </w:p>
          <w:p w:rsidR="004832B3" w:rsidRPr="00552E3D" w:rsidRDefault="004832B3" w:rsidP="00D12CCE">
            <w:pPr>
              <w:rPr>
                <w:rFonts w:eastAsia="Times New Roman" w:cs="Times New Roman"/>
              </w:rPr>
            </w:pPr>
            <w:proofErr w:type="spellStart"/>
            <w:r w:rsidRPr="00552E3D">
              <w:rPr>
                <w:rFonts w:eastAsia="Times New Roman" w:cs="Times New Roman"/>
              </w:rPr>
              <w:t>Abell</w:t>
            </w:r>
            <w:proofErr w:type="spellEnd"/>
            <w:r w:rsidRPr="00552E3D">
              <w:rPr>
                <w:rFonts w:eastAsia="Times New Roman" w:cs="Times New Roman"/>
              </w:rPr>
              <w:t>, P. (2000) “Sociological Theory and Rational Choice Theory” in Turner, B. S. (</w:t>
            </w:r>
            <w:proofErr w:type="spellStart"/>
            <w:r w:rsidRPr="00552E3D">
              <w:rPr>
                <w:rFonts w:eastAsia="Times New Roman" w:cs="Times New Roman"/>
              </w:rPr>
              <w:t>ed</w:t>
            </w:r>
            <w:proofErr w:type="spellEnd"/>
            <w:r w:rsidRPr="00552E3D">
              <w:rPr>
                <w:rFonts w:eastAsia="Times New Roman" w:cs="Times New Roman"/>
              </w:rPr>
              <w:t xml:space="preserve">) (2000) </w:t>
            </w:r>
            <w:r w:rsidRPr="00552E3D">
              <w:rPr>
                <w:rStyle w:val="ft36"/>
                <w:rFonts w:eastAsia="Times New Roman" w:cs="Times New Roman"/>
                <w:i/>
              </w:rPr>
              <w:t xml:space="preserve">The Blackwell Companion to Social </w:t>
            </w:r>
            <w:proofErr w:type="spellStart"/>
            <w:r w:rsidRPr="00552E3D">
              <w:rPr>
                <w:rStyle w:val="ft36"/>
                <w:rFonts w:eastAsia="Times New Roman" w:cs="Times New Roman"/>
                <w:i/>
              </w:rPr>
              <w:t>Theory</w:t>
            </w:r>
            <w:r w:rsidRPr="00552E3D">
              <w:rPr>
                <w:rFonts w:eastAsia="Times New Roman" w:cs="Times New Roman"/>
              </w:rPr>
              <w:t>Oxford</w:t>
            </w:r>
            <w:proofErr w:type="spellEnd"/>
            <w:r w:rsidRPr="00552E3D">
              <w:rPr>
                <w:rFonts w:eastAsia="Times New Roman" w:cs="Times New Roman"/>
              </w:rPr>
              <w:t>: Blackwell pp. 223-244</w:t>
            </w:r>
          </w:p>
          <w:p w:rsidR="004832B3" w:rsidRPr="00552E3D" w:rsidRDefault="004832B3" w:rsidP="00D12CCE">
            <w:proofErr w:type="spellStart"/>
            <w:r w:rsidRPr="00552E3D">
              <w:rPr>
                <w:rFonts w:eastAsia="Times New Roman" w:cs="Times New Roman"/>
              </w:rPr>
              <w:t>Ritzer</w:t>
            </w:r>
            <w:proofErr w:type="spellEnd"/>
            <w:r w:rsidRPr="00552E3D">
              <w:rPr>
                <w:rFonts w:eastAsia="Times New Roman" w:cs="Times New Roman"/>
              </w:rPr>
              <w:t xml:space="preserve">, G. &amp; Goodman, D. J. (2003) </w:t>
            </w:r>
            <w:r w:rsidRPr="00552E3D">
              <w:rPr>
                <w:rStyle w:val="ft25"/>
                <w:rFonts w:eastAsia="Times New Roman" w:cs="Times New Roman"/>
                <w:i/>
              </w:rPr>
              <w:t>Sociological Theory</w:t>
            </w:r>
            <w:r w:rsidRPr="00552E3D">
              <w:rPr>
                <w:rStyle w:val="ft25"/>
                <w:rFonts w:eastAsia="Times New Roman" w:cs="Times New Roman"/>
              </w:rPr>
              <w:t xml:space="preserve"> Sixth Ed</w:t>
            </w:r>
            <w:r w:rsidRPr="00552E3D">
              <w:rPr>
                <w:rFonts w:eastAsia="Times New Roman" w:cs="Times New Roman"/>
              </w:rPr>
              <w:t>. Boston: McGraw Hill ‘12, Exchange, Network, and Rational Choice Theories’ pp. 226-264</w:t>
            </w:r>
          </w:p>
          <w:p w:rsidR="004832B3" w:rsidRPr="00552E3D" w:rsidRDefault="004832B3" w:rsidP="00D12CCE"/>
        </w:tc>
        <w:tc>
          <w:tcPr>
            <w:tcW w:w="1506" w:type="dxa"/>
            <w:vAlign w:val="center"/>
            <w:hideMark/>
          </w:tcPr>
          <w:p w:rsidR="004832B3" w:rsidRPr="00552E3D" w:rsidRDefault="004832B3" w:rsidP="00D12CCE">
            <w:pPr>
              <w:rPr>
                <w:b/>
              </w:rPr>
            </w:pPr>
            <w:r w:rsidRPr="00552E3D">
              <w:rPr>
                <w:b/>
              </w:rPr>
              <w:lastRenderedPageBreak/>
              <w:t> </w:t>
            </w:r>
          </w:p>
        </w:tc>
      </w:tr>
      <w:tr w:rsidR="004832B3" w:rsidRPr="00552E3D" w:rsidTr="00D12CCE">
        <w:trPr>
          <w:tblCellSpacing w:w="0" w:type="dxa"/>
        </w:trPr>
        <w:tc>
          <w:tcPr>
            <w:tcW w:w="8910" w:type="dxa"/>
            <w:vAlign w:val="center"/>
            <w:hideMark/>
          </w:tcPr>
          <w:p w:rsidR="004832B3" w:rsidRPr="00552E3D" w:rsidRDefault="004832B3" w:rsidP="00D12CCE">
            <w:pPr>
              <w:rPr>
                <w:b/>
              </w:rPr>
            </w:pPr>
            <w:r w:rsidRPr="00552E3D">
              <w:rPr>
                <w:b/>
              </w:rPr>
              <w:lastRenderedPageBreak/>
              <w:t>Week 3</w:t>
            </w:r>
          </w:p>
        </w:tc>
        <w:tc>
          <w:tcPr>
            <w:tcW w:w="1506" w:type="dxa"/>
            <w:vAlign w:val="center"/>
            <w:hideMark/>
          </w:tcPr>
          <w:p w:rsidR="004832B3" w:rsidRPr="00552E3D" w:rsidRDefault="004832B3" w:rsidP="00D12CCE">
            <w:pPr>
              <w:rPr>
                <w:b/>
              </w:rPr>
            </w:pPr>
          </w:p>
        </w:tc>
      </w:tr>
      <w:tr w:rsidR="004832B3" w:rsidRPr="00552E3D" w:rsidTr="00D12CCE">
        <w:trPr>
          <w:tblCellSpacing w:w="0" w:type="dxa"/>
        </w:trPr>
        <w:tc>
          <w:tcPr>
            <w:tcW w:w="8910" w:type="dxa"/>
            <w:vAlign w:val="center"/>
            <w:hideMark/>
          </w:tcPr>
          <w:p w:rsidR="004832B3" w:rsidRPr="00552E3D" w:rsidRDefault="004832B3" w:rsidP="00D12CCE">
            <w:r w:rsidRPr="00552E3D">
              <w:t>Phenomenological Sociology and Ethnomethodology</w:t>
            </w:r>
          </w:p>
          <w:p w:rsidR="004832B3" w:rsidRPr="00552E3D" w:rsidRDefault="004832B3" w:rsidP="00D12CCE">
            <w:pPr>
              <w:rPr>
                <w:b/>
              </w:rPr>
            </w:pPr>
            <w:r w:rsidRPr="00552E3D">
              <w:rPr>
                <w:b/>
              </w:rPr>
              <w:t>Reading</w:t>
            </w:r>
          </w:p>
          <w:p w:rsidR="004832B3" w:rsidRPr="00552E3D" w:rsidRDefault="004832B3" w:rsidP="00D12CCE">
            <w:proofErr w:type="spellStart"/>
            <w:r w:rsidRPr="00552E3D">
              <w:t>Farganis</w:t>
            </w:r>
            <w:proofErr w:type="spellEnd"/>
            <w:r w:rsidRPr="00552E3D">
              <w:t xml:space="preserve">, J. (2004) “Chapter 10. Phenomenological Sociology and Ethnomethodology” in J. </w:t>
            </w:r>
            <w:proofErr w:type="spellStart"/>
            <w:r w:rsidRPr="00552E3D">
              <w:t>Farganis</w:t>
            </w:r>
            <w:proofErr w:type="spellEnd"/>
            <w:r w:rsidRPr="00552E3D">
              <w:t xml:space="preserve"> (ed.) </w:t>
            </w:r>
            <w:r w:rsidRPr="00552E3D">
              <w:rPr>
                <w:i/>
              </w:rPr>
              <w:t>Readings in Social Theory- The Classical Tradition to Post-Modernism 4th edition</w:t>
            </w:r>
            <w:r w:rsidRPr="00552E3D">
              <w:t xml:space="preserve"> Boston: McGraw Hill pp. 303-348</w:t>
            </w:r>
          </w:p>
          <w:p w:rsidR="004832B3" w:rsidRPr="00552E3D" w:rsidRDefault="004832B3" w:rsidP="00D12CCE">
            <w:pPr>
              <w:rPr>
                <w:b/>
              </w:rPr>
            </w:pPr>
            <w:r w:rsidRPr="00552E3D">
              <w:rPr>
                <w:b/>
              </w:rPr>
              <w:t>Supplementary readings</w:t>
            </w:r>
          </w:p>
          <w:p w:rsidR="004832B3" w:rsidRPr="00552E3D" w:rsidRDefault="004832B3" w:rsidP="00D12CCE">
            <w:proofErr w:type="spellStart"/>
            <w:r w:rsidRPr="00552E3D">
              <w:t>Schutz</w:t>
            </w:r>
            <w:proofErr w:type="spellEnd"/>
            <w:r w:rsidRPr="00552E3D">
              <w:t xml:space="preserve">, A. (1972) </w:t>
            </w:r>
            <w:r w:rsidRPr="00552E3D">
              <w:rPr>
                <w:i/>
              </w:rPr>
              <w:t>The Phenomenology of the Social World</w:t>
            </w:r>
            <w:r w:rsidRPr="00552E3D">
              <w:t xml:space="preserve"> London: Heinemann</w:t>
            </w:r>
          </w:p>
          <w:p w:rsidR="004832B3" w:rsidRPr="00552E3D" w:rsidRDefault="004832B3" w:rsidP="00D12CCE">
            <w:r w:rsidRPr="00552E3D">
              <w:t xml:space="preserve">Turner, R. (ed.) (1974) </w:t>
            </w:r>
            <w:r w:rsidRPr="00552E3D">
              <w:rPr>
                <w:i/>
              </w:rPr>
              <w:t>Ethnomethodology: Selected Readings</w:t>
            </w:r>
            <w:r w:rsidRPr="00552E3D">
              <w:t xml:space="preserve"> </w:t>
            </w:r>
            <w:proofErr w:type="spellStart"/>
            <w:r w:rsidRPr="00552E3D">
              <w:t>Harmondsworth:Penguin</w:t>
            </w:r>
            <w:proofErr w:type="spellEnd"/>
          </w:p>
          <w:p w:rsidR="004832B3" w:rsidRPr="00552E3D" w:rsidRDefault="004832B3" w:rsidP="00D12CCE">
            <w:pPr>
              <w:ind w:right="-484"/>
              <w:rPr>
                <w:b/>
              </w:rPr>
            </w:pPr>
          </w:p>
        </w:tc>
        <w:tc>
          <w:tcPr>
            <w:tcW w:w="1506" w:type="dxa"/>
            <w:vAlign w:val="center"/>
            <w:hideMark/>
          </w:tcPr>
          <w:p w:rsidR="004832B3" w:rsidRPr="00552E3D" w:rsidRDefault="004832B3" w:rsidP="00D12CCE">
            <w:pPr>
              <w:rPr>
                <w:b/>
              </w:rPr>
            </w:pPr>
            <w:r w:rsidRPr="00552E3D">
              <w:rPr>
                <w:b/>
              </w:rPr>
              <w:t> </w:t>
            </w:r>
          </w:p>
        </w:tc>
      </w:tr>
      <w:tr w:rsidR="004832B3" w:rsidRPr="00552E3D" w:rsidTr="00D12CCE">
        <w:trPr>
          <w:tblCellSpacing w:w="0" w:type="dxa"/>
        </w:trPr>
        <w:tc>
          <w:tcPr>
            <w:tcW w:w="8910" w:type="dxa"/>
            <w:vAlign w:val="center"/>
            <w:hideMark/>
          </w:tcPr>
          <w:p w:rsidR="004832B3" w:rsidRPr="00552E3D" w:rsidRDefault="004832B3" w:rsidP="00D12CCE">
            <w:pPr>
              <w:rPr>
                <w:b/>
              </w:rPr>
            </w:pPr>
            <w:r w:rsidRPr="00552E3D">
              <w:rPr>
                <w:b/>
              </w:rPr>
              <w:t>Week 4</w:t>
            </w:r>
          </w:p>
        </w:tc>
        <w:tc>
          <w:tcPr>
            <w:tcW w:w="1506" w:type="dxa"/>
            <w:vAlign w:val="center"/>
            <w:hideMark/>
          </w:tcPr>
          <w:p w:rsidR="004832B3" w:rsidRPr="00552E3D" w:rsidRDefault="004832B3" w:rsidP="00D12CCE">
            <w:pPr>
              <w:rPr>
                <w:b/>
              </w:rPr>
            </w:pPr>
          </w:p>
        </w:tc>
      </w:tr>
      <w:tr w:rsidR="004832B3" w:rsidRPr="00552E3D" w:rsidTr="00D12CCE">
        <w:trPr>
          <w:tblCellSpacing w:w="0" w:type="dxa"/>
        </w:trPr>
        <w:tc>
          <w:tcPr>
            <w:tcW w:w="8910" w:type="dxa"/>
            <w:vAlign w:val="center"/>
            <w:hideMark/>
          </w:tcPr>
          <w:p w:rsidR="004832B3" w:rsidRPr="00552E3D" w:rsidRDefault="004832B3" w:rsidP="00D12CCE">
            <w:r w:rsidRPr="00552E3D">
              <w:t>Feminism and Sociology</w:t>
            </w:r>
          </w:p>
        </w:tc>
        <w:tc>
          <w:tcPr>
            <w:tcW w:w="1506" w:type="dxa"/>
            <w:vAlign w:val="center"/>
            <w:hideMark/>
          </w:tcPr>
          <w:p w:rsidR="004832B3" w:rsidRPr="00552E3D" w:rsidRDefault="004832B3" w:rsidP="00D12CCE">
            <w:pPr>
              <w:rPr>
                <w:b/>
              </w:rPr>
            </w:pPr>
            <w:r w:rsidRPr="00552E3D">
              <w:rPr>
                <w:b/>
              </w:rPr>
              <w:t> </w:t>
            </w:r>
          </w:p>
        </w:tc>
      </w:tr>
      <w:tr w:rsidR="004832B3" w:rsidRPr="00552E3D" w:rsidTr="00D12CCE">
        <w:trPr>
          <w:tblCellSpacing w:w="0" w:type="dxa"/>
        </w:trPr>
        <w:tc>
          <w:tcPr>
            <w:tcW w:w="8910" w:type="dxa"/>
            <w:vAlign w:val="center"/>
            <w:hideMark/>
          </w:tcPr>
          <w:p w:rsidR="004832B3" w:rsidRPr="00552E3D" w:rsidRDefault="004832B3" w:rsidP="00D12CCE">
            <w:pPr>
              <w:rPr>
                <w:rFonts w:eastAsia="Times New Roman" w:cs="Times New Roman"/>
              </w:rPr>
            </w:pPr>
            <w:r w:rsidRPr="00552E3D">
              <w:rPr>
                <w:rFonts w:eastAsia="Times New Roman" w:cs="Times New Roman"/>
              </w:rPr>
              <w:t>Reading:</w:t>
            </w:r>
          </w:p>
          <w:p w:rsidR="004832B3" w:rsidRPr="00552E3D" w:rsidRDefault="004832B3" w:rsidP="00D12CCE">
            <w:pPr>
              <w:rPr>
                <w:rFonts w:eastAsia="Times New Roman" w:cs="Times New Roman"/>
              </w:rPr>
            </w:pPr>
            <w:proofErr w:type="spellStart"/>
            <w:r w:rsidRPr="00552E3D">
              <w:rPr>
                <w:rFonts w:eastAsia="Times New Roman" w:cs="Times New Roman"/>
              </w:rPr>
              <w:t>Farganis</w:t>
            </w:r>
            <w:proofErr w:type="spellEnd"/>
            <w:r w:rsidRPr="00552E3D">
              <w:rPr>
                <w:rFonts w:eastAsia="Times New Roman" w:cs="Times New Roman"/>
              </w:rPr>
              <w:t xml:space="preserve">, J. (2004) “Chapter 12. Feminist Theory” in in J. </w:t>
            </w:r>
            <w:proofErr w:type="spellStart"/>
            <w:r w:rsidRPr="00552E3D">
              <w:rPr>
                <w:rFonts w:eastAsia="Times New Roman" w:cs="Times New Roman"/>
              </w:rPr>
              <w:t>Farganis</w:t>
            </w:r>
            <w:proofErr w:type="spellEnd"/>
            <w:r w:rsidRPr="00552E3D">
              <w:rPr>
                <w:rFonts w:eastAsia="Times New Roman" w:cs="Times New Roman"/>
              </w:rPr>
              <w:t xml:space="preserve"> (ed.) </w:t>
            </w:r>
            <w:r w:rsidRPr="00552E3D">
              <w:rPr>
                <w:rStyle w:val="ft23"/>
                <w:rFonts w:eastAsia="Times New Roman" w:cs="Times New Roman"/>
                <w:i/>
              </w:rPr>
              <w:t>Readings in Social Theory- The Classical Tradition to Post-Modernism 4</w:t>
            </w:r>
            <w:r w:rsidRPr="00552E3D">
              <w:rPr>
                <w:rStyle w:val="ft29"/>
                <w:rFonts w:eastAsia="Times New Roman" w:cs="Times New Roman"/>
                <w:i/>
              </w:rPr>
              <w:t xml:space="preserve">th </w:t>
            </w:r>
            <w:proofErr w:type="spellStart"/>
            <w:r w:rsidRPr="00552E3D">
              <w:rPr>
                <w:rStyle w:val="ft23"/>
                <w:rFonts w:eastAsia="Times New Roman" w:cs="Times New Roman"/>
                <w:i/>
              </w:rPr>
              <w:t>edition</w:t>
            </w:r>
            <w:r w:rsidRPr="00552E3D">
              <w:rPr>
                <w:rFonts w:eastAsia="Times New Roman" w:cs="Times New Roman"/>
              </w:rPr>
              <w:t>Boston</w:t>
            </w:r>
            <w:proofErr w:type="spellEnd"/>
            <w:r w:rsidRPr="00552E3D">
              <w:rPr>
                <w:rFonts w:eastAsia="Times New Roman" w:cs="Times New Roman"/>
              </w:rPr>
              <w:t>: McGraw Hill pp. 369-393</w:t>
            </w:r>
          </w:p>
          <w:p w:rsidR="004832B3" w:rsidRPr="00552E3D" w:rsidRDefault="004832B3" w:rsidP="00D12CCE">
            <w:r w:rsidRPr="00552E3D">
              <w:rPr>
                <w:rFonts w:eastAsia="Times New Roman" w:cs="Times New Roman"/>
              </w:rPr>
              <w:t>Supplementary Readings:</w:t>
            </w:r>
          </w:p>
          <w:p w:rsidR="004832B3" w:rsidRPr="00552E3D" w:rsidRDefault="004832B3" w:rsidP="00D12CCE">
            <w:proofErr w:type="spellStart"/>
            <w:r w:rsidRPr="00552E3D">
              <w:lastRenderedPageBreak/>
              <w:t>Ritzer</w:t>
            </w:r>
            <w:proofErr w:type="spellEnd"/>
            <w:r w:rsidRPr="00552E3D">
              <w:t xml:space="preserve">, G. &amp; Goodman, D. J. (2003) </w:t>
            </w:r>
            <w:r w:rsidRPr="00552E3D">
              <w:rPr>
                <w:i/>
              </w:rPr>
              <w:t>Sociological Theory</w:t>
            </w:r>
            <w:r w:rsidRPr="00552E3D">
              <w:t xml:space="preserve"> Sixth Ed. Boston: McGraw Hill</w:t>
            </w:r>
          </w:p>
          <w:p w:rsidR="004832B3" w:rsidRPr="00552E3D" w:rsidRDefault="004832B3" w:rsidP="00D12CCE">
            <w:r w:rsidRPr="00552E3D">
              <w:t xml:space="preserve">‘13, Contemporary Feminist Theory” By Patricia </w:t>
            </w:r>
            <w:proofErr w:type="spellStart"/>
            <w:r w:rsidRPr="00552E3D">
              <w:t>Madoo</w:t>
            </w:r>
            <w:proofErr w:type="spellEnd"/>
            <w:r w:rsidRPr="00552E3D">
              <w:t xml:space="preserve"> </w:t>
            </w:r>
            <w:proofErr w:type="spellStart"/>
            <w:r w:rsidRPr="00552E3D">
              <w:t>Lengermann</w:t>
            </w:r>
            <w:proofErr w:type="spellEnd"/>
            <w:r w:rsidRPr="00552E3D">
              <w:t xml:space="preserve"> and Jill </w:t>
            </w:r>
            <w:proofErr w:type="spellStart"/>
            <w:r w:rsidRPr="00552E3D">
              <w:t>Niebrugg</w:t>
            </w:r>
            <w:proofErr w:type="spellEnd"/>
            <w:r w:rsidRPr="00552E3D">
              <w:t>-Brantley pp.436-479</w:t>
            </w:r>
          </w:p>
          <w:p w:rsidR="004832B3" w:rsidRPr="00552E3D" w:rsidRDefault="004832B3" w:rsidP="00D12CCE">
            <w:pPr>
              <w:rPr>
                <w:b/>
              </w:rPr>
            </w:pPr>
            <w:r w:rsidRPr="00552E3D">
              <w:rPr>
                <w:b/>
              </w:rPr>
              <w:t>Week 5</w:t>
            </w:r>
          </w:p>
        </w:tc>
        <w:tc>
          <w:tcPr>
            <w:tcW w:w="1506" w:type="dxa"/>
            <w:vAlign w:val="center"/>
            <w:hideMark/>
          </w:tcPr>
          <w:p w:rsidR="004832B3" w:rsidRPr="00552E3D" w:rsidRDefault="004832B3" w:rsidP="00D12CCE">
            <w:pPr>
              <w:rPr>
                <w:b/>
              </w:rPr>
            </w:pPr>
          </w:p>
        </w:tc>
      </w:tr>
      <w:tr w:rsidR="004832B3" w:rsidRPr="00552E3D" w:rsidTr="00D12CCE">
        <w:trPr>
          <w:tblCellSpacing w:w="0" w:type="dxa"/>
        </w:trPr>
        <w:tc>
          <w:tcPr>
            <w:tcW w:w="8910" w:type="dxa"/>
            <w:vAlign w:val="center"/>
            <w:hideMark/>
          </w:tcPr>
          <w:p w:rsidR="004832B3" w:rsidRPr="00552E3D" w:rsidRDefault="004832B3" w:rsidP="00D12CCE">
            <w:r w:rsidRPr="00552E3D">
              <w:lastRenderedPageBreak/>
              <w:t>Critical Social Theory</w:t>
            </w:r>
          </w:p>
        </w:tc>
        <w:tc>
          <w:tcPr>
            <w:tcW w:w="1506" w:type="dxa"/>
            <w:vAlign w:val="center"/>
            <w:hideMark/>
          </w:tcPr>
          <w:p w:rsidR="004832B3" w:rsidRPr="00552E3D" w:rsidRDefault="004832B3" w:rsidP="00D12CCE">
            <w:pPr>
              <w:rPr>
                <w:b/>
              </w:rPr>
            </w:pPr>
            <w:r w:rsidRPr="00552E3D">
              <w:rPr>
                <w:b/>
              </w:rPr>
              <w:t> </w:t>
            </w:r>
          </w:p>
        </w:tc>
      </w:tr>
      <w:tr w:rsidR="004832B3" w:rsidRPr="00552E3D" w:rsidTr="00D12CCE">
        <w:trPr>
          <w:tblCellSpacing w:w="0" w:type="dxa"/>
        </w:trPr>
        <w:tc>
          <w:tcPr>
            <w:tcW w:w="8910" w:type="dxa"/>
            <w:vAlign w:val="center"/>
            <w:hideMark/>
          </w:tcPr>
          <w:p w:rsidR="004832B3" w:rsidRPr="00552E3D" w:rsidRDefault="004832B3" w:rsidP="00D12CCE">
            <w:pPr>
              <w:rPr>
                <w:rFonts w:eastAsia="Times New Roman" w:cs="Times New Roman"/>
                <w:b/>
              </w:rPr>
            </w:pPr>
            <w:r w:rsidRPr="00552E3D">
              <w:rPr>
                <w:rFonts w:eastAsia="Times New Roman" w:cs="Times New Roman"/>
                <w:b/>
              </w:rPr>
              <w:t>Reading</w:t>
            </w:r>
          </w:p>
          <w:p w:rsidR="004832B3" w:rsidRPr="00552E3D" w:rsidRDefault="004832B3" w:rsidP="00D12CCE">
            <w:pPr>
              <w:rPr>
                <w:b/>
              </w:rPr>
            </w:pPr>
            <w:proofErr w:type="spellStart"/>
            <w:r w:rsidRPr="00552E3D">
              <w:rPr>
                <w:rFonts w:eastAsia="Times New Roman" w:cs="Times New Roman"/>
              </w:rPr>
              <w:t>Farganis</w:t>
            </w:r>
            <w:proofErr w:type="spellEnd"/>
            <w:r w:rsidRPr="00552E3D">
              <w:rPr>
                <w:rFonts w:eastAsia="Times New Roman" w:cs="Times New Roman"/>
              </w:rPr>
              <w:t xml:space="preserve">, J. (2004) “Chapter 13. Critical Theory” in J. </w:t>
            </w:r>
            <w:proofErr w:type="spellStart"/>
            <w:r w:rsidRPr="00552E3D">
              <w:rPr>
                <w:rFonts w:eastAsia="Times New Roman" w:cs="Times New Roman"/>
              </w:rPr>
              <w:t>Farganis</w:t>
            </w:r>
            <w:proofErr w:type="spellEnd"/>
            <w:r w:rsidRPr="00552E3D">
              <w:rPr>
                <w:rFonts w:eastAsia="Times New Roman" w:cs="Times New Roman"/>
              </w:rPr>
              <w:t xml:space="preserve"> (ed.) </w:t>
            </w:r>
            <w:r w:rsidRPr="00552E3D">
              <w:rPr>
                <w:rStyle w:val="ft23"/>
                <w:rFonts w:eastAsia="Times New Roman" w:cs="Times New Roman"/>
                <w:i/>
              </w:rPr>
              <w:t>Readings in Social Theory- The Classical Tradition to Post-Modernism 4</w:t>
            </w:r>
            <w:r w:rsidRPr="00552E3D">
              <w:rPr>
                <w:rStyle w:val="ft29"/>
                <w:rFonts w:eastAsia="Times New Roman" w:cs="Times New Roman"/>
                <w:i/>
              </w:rPr>
              <w:t xml:space="preserve">th </w:t>
            </w:r>
            <w:proofErr w:type="spellStart"/>
            <w:r w:rsidRPr="00552E3D">
              <w:rPr>
                <w:rStyle w:val="ft23"/>
                <w:rFonts w:eastAsia="Times New Roman" w:cs="Times New Roman"/>
                <w:i/>
              </w:rPr>
              <w:t>edition</w:t>
            </w:r>
            <w:r w:rsidRPr="00552E3D">
              <w:rPr>
                <w:rFonts w:eastAsia="Times New Roman" w:cs="Times New Roman"/>
              </w:rPr>
              <w:t>Boston</w:t>
            </w:r>
            <w:proofErr w:type="spellEnd"/>
            <w:r w:rsidRPr="00552E3D">
              <w:rPr>
                <w:rFonts w:eastAsia="Times New Roman" w:cs="Times New Roman"/>
              </w:rPr>
              <w:t>: McGraw Hill pp. 397-422</w:t>
            </w:r>
          </w:p>
          <w:p w:rsidR="004832B3" w:rsidRPr="00552E3D" w:rsidRDefault="004832B3" w:rsidP="00D12CCE">
            <w:pPr>
              <w:rPr>
                <w:b/>
              </w:rPr>
            </w:pPr>
            <w:r w:rsidRPr="00552E3D">
              <w:rPr>
                <w:b/>
              </w:rPr>
              <w:t>Supplementary readings</w:t>
            </w:r>
          </w:p>
          <w:p w:rsidR="004832B3" w:rsidRPr="00552E3D" w:rsidRDefault="004832B3" w:rsidP="00D12CCE">
            <w:pPr>
              <w:rPr>
                <w:b/>
              </w:rPr>
            </w:pPr>
            <w:proofErr w:type="spellStart"/>
            <w:r w:rsidRPr="00552E3D">
              <w:rPr>
                <w:rFonts w:eastAsia="Times New Roman" w:cs="Times New Roman"/>
              </w:rPr>
              <w:t>Delanty</w:t>
            </w:r>
            <w:proofErr w:type="spellEnd"/>
            <w:r w:rsidRPr="00552E3D">
              <w:rPr>
                <w:rFonts w:eastAsia="Times New Roman" w:cs="Times New Roman"/>
              </w:rPr>
              <w:t xml:space="preserve">, G. (1999) </w:t>
            </w:r>
            <w:r w:rsidRPr="00552E3D">
              <w:rPr>
                <w:rStyle w:val="ft25"/>
                <w:rFonts w:eastAsia="Times New Roman" w:cs="Times New Roman"/>
                <w:i/>
              </w:rPr>
              <w:t xml:space="preserve">Social Theory in a Changing </w:t>
            </w:r>
            <w:proofErr w:type="spellStart"/>
            <w:r w:rsidRPr="00552E3D">
              <w:rPr>
                <w:rStyle w:val="ft25"/>
                <w:rFonts w:eastAsia="Times New Roman" w:cs="Times New Roman"/>
                <w:i/>
              </w:rPr>
              <w:t>World</w:t>
            </w:r>
            <w:r w:rsidRPr="00552E3D">
              <w:rPr>
                <w:rFonts w:eastAsia="Times New Roman" w:cs="Times New Roman"/>
              </w:rPr>
              <w:t>Cambridge</w:t>
            </w:r>
            <w:proofErr w:type="spellEnd"/>
            <w:r w:rsidRPr="00552E3D">
              <w:rPr>
                <w:rFonts w:eastAsia="Times New Roman" w:cs="Times New Roman"/>
              </w:rPr>
              <w:t xml:space="preserve">: Polity Press Chapter 3 “Discourse and Democracy: </w:t>
            </w:r>
            <w:proofErr w:type="spellStart"/>
            <w:r w:rsidRPr="00552E3D">
              <w:rPr>
                <w:rFonts w:eastAsia="Times New Roman" w:cs="Times New Roman"/>
              </w:rPr>
              <w:t>Habermas’s</w:t>
            </w:r>
            <w:proofErr w:type="spellEnd"/>
            <w:r w:rsidRPr="00552E3D">
              <w:rPr>
                <w:rFonts w:eastAsia="Times New Roman" w:cs="Times New Roman"/>
              </w:rPr>
              <w:t xml:space="preserve"> theory of modernity”</w:t>
            </w:r>
          </w:p>
          <w:p w:rsidR="004832B3" w:rsidRPr="00552E3D" w:rsidRDefault="004832B3" w:rsidP="00D12CCE">
            <w:pPr>
              <w:rPr>
                <w:b/>
              </w:rPr>
            </w:pPr>
          </w:p>
          <w:p w:rsidR="004832B3" w:rsidRPr="00552E3D" w:rsidRDefault="004832B3" w:rsidP="00D12CCE">
            <w:pPr>
              <w:rPr>
                <w:b/>
              </w:rPr>
            </w:pPr>
            <w:r w:rsidRPr="00552E3D">
              <w:rPr>
                <w:b/>
              </w:rPr>
              <w:t>Week 6-7</w:t>
            </w:r>
          </w:p>
        </w:tc>
        <w:tc>
          <w:tcPr>
            <w:tcW w:w="1506" w:type="dxa"/>
            <w:vAlign w:val="center"/>
            <w:hideMark/>
          </w:tcPr>
          <w:p w:rsidR="004832B3" w:rsidRPr="00552E3D" w:rsidRDefault="004832B3" w:rsidP="00D12CCE">
            <w:pPr>
              <w:rPr>
                <w:b/>
              </w:rPr>
            </w:pPr>
          </w:p>
        </w:tc>
      </w:tr>
      <w:tr w:rsidR="004832B3" w:rsidRPr="00552E3D" w:rsidTr="00D12CCE">
        <w:trPr>
          <w:tblCellSpacing w:w="0" w:type="dxa"/>
        </w:trPr>
        <w:tc>
          <w:tcPr>
            <w:tcW w:w="10416" w:type="dxa"/>
            <w:gridSpan w:val="2"/>
            <w:vAlign w:val="center"/>
            <w:hideMark/>
          </w:tcPr>
          <w:p w:rsidR="004832B3" w:rsidRPr="00552E3D" w:rsidRDefault="004832B3" w:rsidP="00D12CCE">
            <w:r w:rsidRPr="00552E3D">
              <w:t>Michel Foucault and Postmodernism: Power, Subjectivity and Knowledge</w:t>
            </w:r>
          </w:p>
        </w:tc>
      </w:tr>
      <w:tr w:rsidR="004832B3" w:rsidRPr="00552E3D" w:rsidTr="00D12CCE">
        <w:trPr>
          <w:tblCellSpacing w:w="0" w:type="dxa"/>
        </w:trPr>
        <w:tc>
          <w:tcPr>
            <w:tcW w:w="8910" w:type="dxa"/>
            <w:vAlign w:val="center"/>
            <w:hideMark/>
          </w:tcPr>
          <w:p w:rsidR="004832B3" w:rsidRPr="00552E3D" w:rsidRDefault="004832B3" w:rsidP="00D12CCE">
            <w:pPr>
              <w:rPr>
                <w:b/>
              </w:rPr>
            </w:pPr>
            <w:r w:rsidRPr="00552E3D">
              <w:rPr>
                <w:b/>
              </w:rPr>
              <w:t>Reading</w:t>
            </w:r>
          </w:p>
          <w:p w:rsidR="004832B3" w:rsidRPr="00552E3D" w:rsidRDefault="004832B3" w:rsidP="00D12CCE">
            <w:proofErr w:type="spellStart"/>
            <w:r w:rsidRPr="00552E3D">
              <w:t>Farganis</w:t>
            </w:r>
            <w:proofErr w:type="spellEnd"/>
            <w:r w:rsidRPr="00552E3D">
              <w:t xml:space="preserve">, J. (2004) “Chapter 14. Post-Modernism” in J. </w:t>
            </w:r>
            <w:proofErr w:type="spellStart"/>
            <w:r w:rsidRPr="00552E3D">
              <w:t>Farganis</w:t>
            </w:r>
            <w:proofErr w:type="spellEnd"/>
            <w:r w:rsidRPr="00552E3D">
              <w:t xml:space="preserve"> (ed.) </w:t>
            </w:r>
            <w:r w:rsidRPr="00552E3D">
              <w:rPr>
                <w:i/>
              </w:rPr>
              <w:t>Readings in Social Theory- The Classical Tradition to Post-Modernism 4th edition</w:t>
            </w:r>
            <w:r w:rsidRPr="00552E3D">
              <w:t xml:space="preserve"> Boston: McGraw Hill pp. 423-450</w:t>
            </w:r>
          </w:p>
          <w:p w:rsidR="004832B3" w:rsidRPr="00552E3D" w:rsidRDefault="004832B3" w:rsidP="00D12CCE">
            <w:r w:rsidRPr="00552E3D">
              <w:t xml:space="preserve">Bourdieu, P (1998) </w:t>
            </w:r>
            <w:r w:rsidRPr="00552E3D">
              <w:rPr>
                <w:i/>
              </w:rPr>
              <w:t xml:space="preserve">Practical Reason </w:t>
            </w:r>
            <w:r w:rsidRPr="00552E3D">
              <w:t>Stanford University Press: Stanford pp. 1-13; 31-34 (Social Space and Symbolic Space) &amp; (Appendix: Social Space and Field of Power)</w:t>
            </w:r>
          </w:p>
          <w:p w:rsidR="004832B3" w:rsidRPr="00552E3D" w:rsidRDefault="004832B3" w:rsidP="00D12CCE">
            <w:pPr>
              <w:rPr>
                <w:b/>
              </w:rPr>
            </w:pPr>
            <w:r w:rsidRPr="00552E3D">
              <w:rPr>
                <w:b/>
              </w:rPr>
              <w:t>Supplementary readings</w:t>
            </w:r>
          </w:p>
          <w:p w:rsidR="004832B3" w:rsidRPr="00552E3D" w:rsidRDefault="004832B3" w:rsidP="00D12CCE">
            <w:r w:rsidRPr="00552E3D">
              <w:t xml:space="preserve">Foucault, M. (1978) 'Method' in Foucault, M. </w:t>
            </w:r>
            <w:r w:rsidRPr="00552E3D">
              <w:rPr>
                <w:i/>
              </w:rPr>
              <w:t>The Will to Knowledge - The History of Sexuality: Volume One</w:t>
            </w:r>
            <w:r w:rsidRPr="00552E3D">
              <w:t xml:space="preserve"> London: Penguin 92-102</w:t>
            </w:r>
          </w:p>
          <w:p w:rsidR="004832B3" w:rsidRPr="00552E3D" w:rsidRDefault="004832B3" w:rsidP="00D12CCE">
            <w:r w:rsidRPr="00552E3D">
              <w:t xml:space="preserve">Foucault, M. (1980) “Two Lectures” in C. Gordon (ed.) </w:t>
            </w:r>
            <w:r w:rsidRPr="00552E3D">
              <w:rPr>
                <w:i/>
              </w:rPr>
              <w:t>Michel Foucault Power / Knowledge: Selected Interviews and other Writings</w:t>
            </w:r>
            <w:r w:rsidRPr="00552E3D">
              <w:t xml:space="preserve">, 1972 -1977New York: Harvester </w:t>
            </w:r>
            <w:proofErr w:type="spellStart"/>
            <w:r w:rsidRPr="00552E3D">
              <w:t>Wheatsheaf</w:t>
            </w:r>
            <w:proofErr w:type="spellEnd"/>
            <w:r w:rsidRPr="00552E3D">
              <w:t xml:space="preserve"> pp. 78-108</w:t>
            </w:r>
          </w:p>
          <w:p w:rsidR="004832B3" w:rsidRPr="00552E3D" w:rsidRDefault="004832B3" w:rsidP="00D12CCE">
            <w:r w:rsidRPr="00552E3D">
              <w:t xml:space="preserve">Foucault, M. (1980) </w:t>
            </w:r>
            <w:r w:rsidRPr="00552E3D">
              <w:rPr>
                <w:i/>
              </w:rPr>
              <w:t>Power / Knowledge: Selected Interviews and other Writings, 1972 - 1977</w:t>
            </w:r>
            <w:r w:rsidRPr="00552E3D">
              <w:t xml:space="preserve"> Gordon, C. (ed.) New York: Harvester </w:t>
            </w:r>
            <w:proofErr w:type="spellStart"/>
            <w:r w:rsidRPr="00552E3D">
              <w:t>Wheatsheaf</w:t>
            </w:r>
            <w:proofErr w:type="spellEnd"/>
          </w:p>
          <w:p w:rsidR="004832B3" w:rsidRPr="00552E3D" w:rsidRDefault="004832B3" w:rsidP="00D12CCE">
            <w:r w:rsidRPr="00552E3D">
              <w:t xml:space="preserve">Foucault, M. (1982) “Afterword: the Subject and Power”, H. Dreyfus and P. </w:t>
            </w:r>
            <w:proofErr w:type="spellStart"/>
            <w:r w:rsidRPr="00552E3D">
              <w:t>Rabinow</w:t>
            </w:r>
            <w:proofErr w:type="spellEnd"/>
            <w:r w:rsidRPr="00552E3D">
              <w:t xml:space="preserve"> </w:t>
            </w:r>
            <w:r w:rsidRPr="00552E3D">
              <w:rPr>
                <w:i/>
              </w:rPr>
              <w:t>Michel Foucault: Beyond Structuralism and Hermeneutics</w:t>
            </w:r>
            <w:r w:rsidRPr="00552E3D">
              <w:t xml:space="preserve"> Harvester: Sussex pp. 208-226</w:t>
            </w:r>
          </w:p>
          <w:p w:rsidR="004832B3" w:rsidRPr="00552E3D" w:rsidRDefault="004832B3" w:rsidP="00D12CCE">
            <w:r w:rsidRPr="00552E3D">
              <w:t xml:space="preserve">Foucault, M. (1985) </w:t>
            </w:r>
            <w:r w:rsidRPr="00552E3D">
              <w:rPr>
                <w:i/>
              </w:rPr>
              <w:t>The Use of Pleasure: The History of Sexuality</w:t>
            </w:r>
            <w:r w:rsidRPr="00552E3D">
              <w:t xml:space="preserve"> Volume 2</w:t>
            </w:r>
          </w:p>
          <w:p w:rsidR="004832B3" w:rsidRPr="00552E3D" w:rsidRDefault="004832B3" w:rsidP="00D12CCE">
            <w:proofErr w:type="spellStart"/>
            <w:r w:rsidRPr="00552E3D">
              <w:lastRenderedPageBreak/>
              <w:t>Harmondsworth</w:t>
            </w:r>
            <w:proofErr w:type="spellEnd"/>
            <w:r w:rsidRPr="00552E3D">
              <w:t>: Penguin pp. 3-13</w:t>
            </w:r>
          </w:p>
          <w:p w:rsidR="004832B3" w:rsidRPr="00552E3D" w:rsidRDefault="004832B3" w:rsidP="00D12CCE">
            <w:r w:rsidRPr="00552E3D">
              <w:t xml:space="preserve">Foucault, M. (2001) “Power/Knowledge” in S. </w:t>
            </w:r>
            <w:proofErr w:type="spellStart"/>
            <w:r w:rsidRPr="00552E3D">
              <w:t>Seidman</w:t>
            </w:r>
            <w:proofErr w:type="spellEnd"/>
            <w:r w:rsidRPr="00552E3D">
              <w:t xml:space="preserve"> and J. Alexander (</w:t>
            </w:r>
            <w:proofErr w:type="spellStart"/>
            <w:r w:rsidRPr="00552E3D">
              <w:t>eds</w:t>
            </w:r>
            <w:proofErr w:type="spellEnd"/>
            <w:r w:rsidRPr="00552E3D">
              <w:t xml:space="preserve">) </w:t>
            </w:r>
            <w:r w:rsidRPr="00552E3D">
              <w:rPr>
                <w:i/>
              </w:rPr>
              <w:t>The New Social Theory Reader</w:t>
            </w:r>
            <w:r w:rsidRPr="00552E3D">
              <w:t xml:space="preserve"> London: Routledge pp. 69-75</w:t>
            </w:r>
          </w:p>
          <w:p w:rsidR="004832B3" w:rsidRPr="00552E3D" w:rsidRDefault="004832B3" w:rsidP="00D12CCE">
            <w:r w:rsidRPr="00552E3D">
              <w:t xml:space="preserve">Gandhi, L. (1998) </w:t>
            </w:r>
            <w:r w:rsidRPr="00552E3D">
              <w:rPr>
                <w:i/>
              </w:rPr>
              <w:t xml:space="preserve">Postcolonial Theory: A Critical Introduction St </w:t>
            </w:r>
            <w:proofErr w:type="spellStart"/>
            <w:r w:rsidRPr="00552E3D">
              <w:rPr>
                <w:i/>
              </w:rPr>
              <w:t>Leonards</w:t>
            </w:r>
            <w:proofErr w:type="spellEnd"/>
            <w:r w:rsidRPr="00552E3D">
              <w:rPr>
                <w:i/>
              </w:rPr>
              <w:t>”</w:t>
            </w:r>
            <w:r w:rsidRPr="00552E3D">
              <w:t xml:space="preserve"> Allen and Unwin pp. 81-101</w:t>
            </w:r>
          </w:p>
          <w:p w:rsidR="004832B3" w:rsidRPr="00552E3D" w:rsidRDefault="004832B3" w:rsidP="00D12CCE">
            <w:pPr>
              <w:rPr>
                <w:b/>
              </w:rPr>
            </w:pPr>
          </w:p>
          <w:p w:rsidR="004832B3" w:rsidRPr="00552E3D" w:rsidRDefault="004832B3" w:rsidP="00D12CCE">
            <w:pPr>
              <w:rPr>
                <w:b/>
              </w:rPr>
            </w:pPr>
            <w:r w:rsidRPr="00552E3D">
              <w:rPr>
                <w:b/>
              </w:rPr>
              <w:t>Week 8</w:t>
            </w:r>
          </w:p>
          <w:p w:rsidR="004832B3" w:rsidRPr="00552E3D" w:rsidRDefault="004832B3" w:rsidP="00D12CCE">
            <w:r w:rsidRPr="00552E3D">
              <w:t>Progress review; Mid-term exam</w:t>
            </w:r>
          </w:p>
          <w:p w:rsidR="004832B3" w:rsidRPr="00552E3D" w:rsidRDefault="004832B3" w:rsidP="00D12CCE">
            <w:pPr>
              <w:rPr>
                <w:b/>
              </w:rPr>
            </w:pPr>
          </w:p>
          <w:p w:rsidR="004832B3" w:rsidRPr="00552E3D" w:rsidRDefault="004832B3" w:rsidP="00D12CCE">
            <w:pPr>
              <w:rPr>
                <w:b/>
              </w:rPr>
            </w:pPr>
            <w:r w:rsidRPr="00552E3D">
              <w:rPr>
                <w:b/>
              </w:rPr>
              <w:t>Week 9</w:t>
            </w:r>
          </w:p>
          <w:p w:rsidR="004832B3" w:rsidRPr="00552E3D" w:rsidRDefault="004832B3" w:rsidP="00D12CCE">
            <w:pPr>
              <w:rPr>
                <w:b/>
              </w:rPr>
            </w:pPr>
            <w:r w:rsidRPr="00552E3D">
              <w:t>Pierre Bourdieu: Social Practices, Symbolic Power and Social Fields</w:t>
            </w:r>
          </w:p>
          <w:p w:rsidR="004832B3" w:rsidRPr="00552E3D" w:rsidRDefault="004832B3" w:rsidP="00D12CCE">
            <w:r w:rsidRPr="00552E3D">
              <w:rPr>
                <w:b/>
              </w:rPr>
              <w:t>Readings</w:t>
            </w:r>
            <w:r w:rsidRPr="00552E3D">
              <w:t xml:space="preserve">: Jenkins, R. (1992) </w:t>
            </w:r>
            <w:r w:rsidRPr="00552E3D">
              <w:rPr>
                <w:i/>
              </w:rPr>
              <w:t>Pierre Bourdieu</w:t>
            </w:r>
            <w:r w:rsidRPr="00552E3D">
              <w:t xml:space="preserve"> London: Routledge pp. 66-102 (Ch. 4: Practice, Habitus and Field)</w:t>
            </w:r>
          </w:p>
          <w:p w:rsidR="004832B3" w:rsidRPr="00552E3D" w:rsidRDefault="004832B3" w:rsidP="00D12CCE">
            <w:proofErr w:type="spellStart"/>
            <w:r w:rsidRPr="00552E3D">
              <w:t>Ritzer</w:t>
            </w:r>
            <w:proofErr w:type="spellEnd"/>
            <w:r w:rsidRPr="00552E3D">
              <w:t xml:space="preserve">, G. &amp; Goodman, D. J. (2003) </w:t>
            </w:r>
            <w:r w:rsidRPr="00552E3D">
              <w:rPr>
                <w:i/>
              </w:rPr>
              <w:t>Sociological Theory</w:t>
            </w:r>
            <w:r w:rsidRPr="00552E3D">
              <w:t xml:space="preserve"> Sixth Ed. Boston: McGraw Hill (‘Pierre Bourdieu’s Reflexive Sociology’ A5-A7 (Appendix))</w:t>
            </w:r>
          </w:p>
          <w:p w:rsidR="004832B3" w:rsidRPr="00552E3D" w:rsidRDefault="004832B3" w:rsidP="00D12CCE">
            <w:proofErr w:type="spellStart"/>
            <w:r w:rsidRPr="00552E3D">
              <w:t>Ritzer</w:t>
            </w:r>
            <w:proofErr w:type="spellEnd"/>
            <w:r w:rsidRPr="00552E3D">
              <w:t xml:space="preserve">, G. &amp; Goodman, D. J. (2003) </w:t>
            </w:r>
            <w:r w:rsidRPr="00552E3D">
              <w:rPr>
                <w:i/>
              </w:rPr>
              <w:t>Sociological Theory</w:t>
            </w:r>
            <w:r w:rsidRPr="00552E3D">
              <w:t xml:space="preserve"> Sixth Ed. Boston: McGraw Hill</w:t>
            </w:r>
          </w:p>
          <w:p w:rsidR="004832B3" w:rsidRPr="00552E3D" w:rsidRDefault="004832B3" w:rsidP="00D12CCE">
            <w:r w:rsidRPr="00552E3D">
              <w:t xml:space="preserve">‘17 Structuralism, </w:t>
            </w:r>
            <w:proofErr w:type="spellStart"/>
            <w:r w:rsidRPr="00552E3D">
              <w:t>Poststructuralism</w:t>
            </w:r>
            <w:proofErr w:type="spellEnd"/>
            <w:r w:rsidRPr="00552E3D">
              <w:t>, and the Emergence of Postmodern Social Theory’ pp579-594; pp.598-616</w:t>
            </w:r>
          </w:p>
          <w:p w:rsidR="004832B3" w:rsidRPr="00552E3D" w:rsidRDefault="004832B3" w:rsidP="00D12CCE">
            <w:pPr>
              <w:rPr>
                <w:b/>
              </w:rPr>
            </w:pPr>
          </w:p>
          <w:p w:rsidR="004832B3" w:rsidRPr="00552E3D" w:rsidRDefault="004832B3" w:rsidP="00D12CCE">
            <w:pPr>
              <w:rPr>
                <w:b/>
              </w:rPr>
            </w:pPr>
            <w:r w:rsidRPr="00552E3D">
              <w:rPr>
                <w:b/>
              </w:rPr>
              <w:t>Week 11</w:t>
            </w:r>
          </w:p>
        </w:tc>
        <w:tc>
          <w:tcPr>
            <w:tcW w:w="1506" w:type="dxa"/>
            <w:vAlign w:val="center"/>
            <w:hideMark/>
          </w:tcPr>
          <w:p w:rsidR="004832B3" w:rsidRPr="00552E3D" w:rsidRDefault="004832B3" w:rsidP="00D12CCE">
            <w:pPr>
              <w:rPr>
                <w:b/>
              </w:rPr>
            </w:pPr>
          </w:p>
          <w:p w:rsidR="004832B3" w:rsidRPr="00552E3D" w:rsidRDefault="004832B3" w:rsidP="00D12CCE">
            <w:pPr>
              <w:rPr>
                <w:b/>
              </w:rPr>
            </w:pPr>
          </w:p>
          <w:p w:rsidR="004832B3" w:rsidRPr="00552E3D" w:rsidRDefault="004832B3" w:rsidP="00D12CCE">
            <w:pPr>
              <w:rPr>
                <w:b/>
              </w:rPr>
            </w:pPr>
          </w:p>
        </w:tc>
      </w:tr>
      <w:tr w:rsidR="004832B3" w:rsidRPr="00552E3D" w:rsidTr="00D12CCE">
        <w:trPr>
          <w:tblCellSpacing w:w="0" w:type="dxa"/>
        </w:trPr>
        <w:tc>
          <w:tcPr>
            <w:tcW w:w="8910" w:type="dxa"/>
            <w:vAlign w:val="center"/>
            <w:hideMark/>
          </w:tcPr>
          <w:p w:rsidR="004832B3" w:rsidRPr="00552E3D" w:rsidRDefault="004832B3" w:rsidP="00D12CCE">
            <w:r w:rsidRPr="00552E3D">
              <w:lastRenderedPageBreak/>
              <w:t xml:space="preserve">Risk Society, Reflexive Modernization and </w:t>
            </w:r>
            <w:proofErr w:type="spellStart"/>
            <w:r w:rsidRPr="00552E3D">
              <w:t>Globalisation</w:t>
            </w:r>
            <w:proofErr w:type="spellEnd"/>
          </w:p>
          <w:p w:rsidR="004832B3" w:rsidRPr="00552E3D" w:rsidRDefault="004832B3" w:rsidP="00D12CCE">
            <w:pPr>
              <w:rPr>
                <w:b/>
              </w:rPr>
            </w:pPr>
            <w:r w:rsidRPr="00552E3D">
              <w:rPr>
                <w:b/>
              </w:rPr>
              <w:t>Reading</w:t>
            </w:r>
          </w:p>
          <w:p w:rsidR="004832B3" w:rsidRPr="00552E3D" w:rsidRDefault="004832B3" w:rsidP="00D12CCE">
            <w:pPr>
              <w:rPr>
                <w:rFonts w:eastAsia="Times New Roman" w:cs="Times New Roman"/>
              </w:rPr>
            </w:pPr>
            <w:r w:rsidRPr="00552E3D">
              <w:rPr>
                <w:rFonts w:eastAsia="Times New Roman" w:cs="Times New Roman"/>
              </w:rPr>
              <w:t xml:space="preserve">Beck, U. (1992) “From Industrial Society to the Risk Society: Questions of Survival, Social Structure and Ecological Enlightenment”, </w:t>
            </w:r>
            <w:r w:rsidRPr="00552E3D">
              <w:rPr>
                <w:rStyle w:val="ft19"/>
                <w:rFonts w:eastAsia="Times New Roman" w:cs="Times New Roman"/>
                <w:i/>
              </w:rPr>
              <w:t xml:space="preserve">Theory, Culture and </w:t>
            </w:r>
            <w:proofErr w:type="spellStart"/>
            <w:r w:rsidRPr="00552E3D">
              <w:rPr>
                <w:rStyle w:val="ft19"/>
                <w:rFonts w:eastAsia="Times New Roman" w:cs="Times New Roman"/>
                <w:i/>
              </w:rPr>
              <w:t>Society</w:t>
            </w:r>
            <w:r w:rsidRPr="00552E3D">
              <w:rPr>
                <w:rFonts w:eastAsia="Times New Roman" w:cs="Times New Roman"/>
              </w:rPr>
              <w:t>Vol</w:t>
            </w:r>
            <w:proofErr w:type="spellEnd"/>
            <w:r w:rsidRPr="00552E3D">
              <w:rPr>
                <w:rFonts w:eastAsia="Times New Roman" w:cs="Times New Roman"/>
              </w:rPr>
              <w:t xml:space="preserve"> 9: 97-123</w:t>
            </w:r>
          </w:p>
          <w:p w:rsidR="004832B3" w:rsidRPr="00552E3D" w:rsidRDefault="004832B3" w:rsidP="00D12CCE">
            <w:proofErr w:type="spellStart"/>
            <w:r w:rsidRPr="00552E3D">
              <w:t>Ritzer</w:t>
            </w:r>
            <w:proofErr w:type="spellEnd"/>
            <w:r w:rsidRPr="00552E3D">
              <w:t xml:space="preserve">, G. &amp; Goodman, D. J. (2003) </w:t>
            </w:r>
            <w:r w:rsidRPr="00552E3D">
              <w:rPr>
                <w:i/>
              </w:rPr>
              <w:t>Sociological Theory</w:t>
            </w:r>
            <w:r w:rsidRPr="00552E3D">
              <w:t xml:space="preserve"> Sixth Ed. Boston: McGraw Hill ‘16 Contemporary Theories of Modernity’ pp.541-552; 569-578</w:t>
            </w:r>
          </w:p>
          <w:p w:rsidR="004832B3" w:rsidRPr="00552E3D" w:rsidRDefault="004832B3" w:rsidP="00D12CCE">
            <w:pPr>
              <w:rPr>
                <w:b/>
              </w:rPr>
            </w:pPr>
          </w:p>
          <w:p w:rsidR="004832B3" w:rsidRPr="00552E3D" w:rsidRDefault="004832B3" w:rsidP="00D12CCE">
            <w:pPr>
              <w:rPr>
                <w:b/>
              </w:rPr>
            </w:pPr>
            <w:r w:rsidRPr="00552E3D">
              <w:rPr>
                <w:b/>
              </w:rPr>
              <w:t>Week 12</w:t>
            </w:r>
          </w:p>
          <w:p w:rsidR="004832B3" w:rsidRPr="00552E3D" w:rsidRDefault="004832B3" w:rsidP="00D12CCE">
            <w:r w:rsidRPr="00552E3D">
              <w:lastRenderedPageBreak/>
              <w:t>Post postmodernism (</w:t>
            </w:r>
            <w:proofErr w:type="spellStart"/>
            <w:r w:rsidRPr="00552E3D">
              <w:t>metamodernism</w:t>
            </w:r>
            <w:proofErr w:type="spellEnd"/>
            <w:r w:rsidRPr="00552E3D">
              <w:t>)</w:t>
            </w:r>
          </w:p>
        </w:tc>
        <w:tc>
          <w:tcPr>
            <w:tcW w:w="1506" w:type="dxa"/>
            <w:vAlign w:val="center"/>
            <w:hideMark/>
          </w:tcPr>
          <w:p w:rsidR="004832B3" w:rsidRPr="00552E3D" w:rsidRDefault="004832B3" w:rsidP="00D12CCE">
            <w:pPr>
              <w:rPr>
                <w:b/>
              </w:rPr>
            </w:pPr>
          </w:p>
        </w:tc>
      </w:tr>
    </w:tbl>
    <w:p w:rsidR="004832B3" w:rsidRPr="00552E3D" w:rsidRDefault="004832B3" w:rsidP="004832B3">
      <w:pPr>
        <w:rPr>
          <w:rStyle w:val="reference-text"/>
          <w:rFonts w:eastAsia="Times New Roman" w:cs="Times New Roman"/>
          <w:i/>
          <w:iCs/>
        </w:rPr>
      </w:pPr>
      <w:proofErr w:type="spellStart"/>
      <w:r w:rsidRPr="00552E3D">
        <w:rPr>
          <w:rStyle w:val="reference-text"/>
          <w:rFonts w:eastAsia="Times New Roman" w:cs="Times New Roman"/>
        </w:rPr>
        <w:lastRenderedPageBreak/>
        <w:t>Vermeulen</w:t>
      </w:r>
      <w:proofErr w:type="spellEnd"/>
      <w:r w:rsidRPr="00552E3D">
        <w:rPr>
          <w:rStyle w:val="reference-text"/>
          <w:rFonts w:eastAsia="Times New Roman" w:cs="Times New Roman"/>
        </w:rPr>
        <w:t xml:space="preserve">, </w:t>
      </w:r>
      <w:proofErr w:type="spellStart"/>
      <w:r w:rsidRPr="00552E3D">
        <w:rPr>
          <w:rStyle w:val="reference-text"/>
          <w:rFonts w:eastAsia="Times New Roman" w:cs="Times New Roman"/>
        </w:rPr>
        <w:t>Timotheus</w:t>
      </w:r>
      <w:proofErr w:type="spellEnd"/>
      <w:r w:rsidRPr="00552E3D">
        <w:rPr>
          <w:rStyle w:val="reference-text"/>
          <w:rFonts w:eastAsia="Times New Roman" w:cs="Times New Roman"/>
        </w:rPr>
        <w:t xml:space="preserve"> and Robin van den </w:t>
      </w:r>
      <w:proofErr w:type="spellStart"/>
      <w:r w:rsidRPr="00552E3D">
        <w:rPr>
          <w:rStyle w:val="reference-text"/>
          <w:rFonts w:eastAsia="Times New Roman" w:cs="Times New Roman"/>
        </w:rPr>
        <w:t>Akker</w:t>
      </w:r>
      <w:proofErr w:type="spellEnd"/>
      <w:r w:rsidRPr="00552E3D">
        <w:rPr>
          <w:rStyle w:val="reference-text"/>
          <w:rFonts w:eastAsia="Times New Roman" w:cs="Times New Roman"/>
        </w:rPr>
        <w:t>. "</w:t>
      </w:r>
      <w:hyperlink r:id="rId4" w:history="1">
        <w:r w:rsidRPr="00552E3D">
          <w:rPr>
            <w:rStyle w:val="Hyperlink"/>
            <w:rFonts w:eastAsia="Times New Roman" w:cs="Times New Roman"/>
          </w:rPr>
          <w:t xml:space="preserve">Notes </w:t>
        </w:r>
        <w:proofErr w:type="spellStart"/>
        <w:r w:rsidRPr="00552E3D">
          <w:rPr>
            <w:rStyle w:val="Hyperlink"/>
            <w:rFonts w:eastAsia="Times New Roman" w:cs="Times New Roman"/>
          </w:rPr>
          <w:t>onmetamodernism</w:t>
        </w:r>
        <w:proofErr w:type="spellEnd"/>
      </w:hyperlink>
      <w:r w:rsidRPr="00552E3D">
        <w:rPr>
          <w:rStyle w:val="reference-text"/>
          <w:rFonts w:eastAsia="Times New Roman" w:cs="Times New Roman"/>
        </w:rPr>
        <w:t xml:space="preserve">", </w:t>
      </w:r>
      <w:r w:rsidRPr="00552E3D">
        <w:rPr>
          <w:rStyle w:val="reference-text"/>
          <w:rFonts w:eastAsia="Times New Roman" w:cs="Times New Roman"/>
          <w:i/>
          <w:iCs/>
        </w:rPr>
        <w:t>Journal of Aesthetics and Culture" 2010.</w:t>
      </w:r>
    </w:p>
    <w:p w:rsidR="004832B3" w:rsidRPr="00552E3D" w:rsidRDefault="004832B3" w:rsidP="004832B3">
      <w:r w:rsidRPr="00552E3D">
        <w:t xml:space="preserve">Turner, L. </w:t>
      </w:r>
      <w:proofErr w:type="spellStart"/>
      <w:r w:rsidRPr="00552E3D">
        <w:t>Metamodernist</w:t>
      </w:r>
      <w:proofErr w:type="spellEnd"/>
      <w:r w:rsidRPr="00552E3D">
        <w:t xml:space="preserve"> Manifesto </w:t>
      </w:r>
      <w:hyperlink r:id="rId5" w:history="1">
        <w:r w:rsidRPr="00552E3D">
          <w:rPr>
            <w:rStyle w:val="Hyperlink"/>
          </w:rPr>
          <w:t>http://www.metamodernism.org/</w:t>
        </w:r>
      </w:hyperlink>
    </w:p>
    <w:p w:rsidR="004832B3" w:rsidRPr="00552E3D" w:rsidRDefault="004832B3" w:rsidP="004832B3">
      <w:pPr>
        <w:rPr>
          <w:b/>
        </w:rPr>
      </w:pPr>
    </w:p>
    <w:p w:rsidR="004832B3" w:rsidRPr="00552E3D" w:rsidRDefault="004832B3" w:rsidP="004832B3">
      <w:pPr>
        <w:rPr>
          <w:b/>
        </w:rPr>
      </w:pPr>
      <w:r w:rsidRPr="00552E3D">
        <w:rPr>
          <w:b/>
        </w:rPr>
        <w:t>Week 14</w:t>
      </w:r>
    </w:p>
    <w:p w:rsidR="004832B3" w:rsidRPr="00552E3D" w:rsidRDefault="004832B3" w:rsidP="004832B3">
      <w:r w:rsidRPr="00552E3D">
        <w:t xml:space="preserve">Wind-up, final paper discussion </w:t>
      </w:r>
    </w:p>
    <w:p w:rsidR="004832B3" w:rsidRPr="00552E3D" w:rsidRDefault="004832B3" w:rsidP="004832B3"/>
    <w:p w:rsidR="004832B3" w:rsidRPr="00552E3D" w:rsidRDefault="004832B3" w:rsidP="004832B3">
      <w:pPr>
        <w:rPr>
          <w:b/>
        </w:rPr>
      </w:pPr>
      <w:r w:rsidRPr="00552E3D">
        <w:rPr>
          <w:b/>
        </w:rPr>
        <w:t>Week 15</w:t>
      </w:r>
    </w:p>
    <w:p w:rsidR="004832B3" w:rsidRPr="00552E3D" w:rsidRDefault="004832B3" w:rsidP="004832B3">
      <w:r w:rsidRPr="00552E3D">
        <w:t>Final paper submission; presentations</w:t>
      </w:r>
    </w:p>
    <w:p w:rsidR="00F35868" w:rsidRDefault="00F35868"/>
    <w:sectPr w:rsidR="00F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B3"/>
    <w:rsid w:val="004832B3"/>
    <w:rsid w:val="00A40CF5"/>
    <w:rsid w:val="00F3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09FCF-11D7-4495-BF84-1D7B9520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2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32B3"/>
    <w:rPr>
      <w:color w:val="0000FF"/>
      <w:u w:val="single"/>
    </w:rPr>
  </w:style>
  <w:style w:type="character" w:customStyle="1" w:styleId="reference-text">
    <w:name w:val="reference-text"/>
    <w:basedOn w:val="DefaultParagraphFont"/>
    <w:rsid w:val="004832B3"/>
  </w:style>
  <w:style w:type="character" w:customStyle="1" w:styleId="ft19">
    <w:name w:val="ft19"/>
    <w:basedOn w:val="DefaultParagraphFont"/>
    <w:rsid w:val="004832B3"/>
  </w:style>
  <w:style w:type="character" w:customStyle="1" w:styleId="ft23">
    <w:name w:val="ft23"/>
    <w:basedOn w:val="DefaultParagraphFont"/>
    <w:rsid w:val="004832B3"/>
  </w:style>
  <w:style w:type="character" w:customStyle="1" w:styleId="ft29">
    <w:name w:val="ft29"/>
    <w:basedOn w:val="DefaultParagraphFont"/>
    <w:rsid w:val="004832B3"/>
  </w:style>
  <w:style w:type="character" w:customStyle="1" w:styleId="ft25">
    <w:name w:val="ft25"/>
    <w:basedOn w:val="DefaultParagraphFont"/>
    <w:rsid w:val="004832B3"/>
  </w:style>
  <w:style w:type="character" w:customStyle="1" w:styleId="ft33">
    <w:name w:val="ft33"/>
    <w:basedOn w:val="DefaultParagraphFont"/>
    <w:rsid w:val="004832B3"/>
  </w:style>
  <w:style w:type="character" w:customStyle="1" w:styleId="ft34">
    <w:name w:val="ft34"/>
    <w:basedOn w:val="DefaultParagraphFont"/>
    <w:rsid w:val="004832B3"/>
  </w:style>
  <w:style w:type="character" w:customStyle="1" w:styleId="ft36">
    <w:name w:val="ft36"/>
    <w:basedOn w:val="DefaultParagraphFont"/>
    <w:rsid w:val="0048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tamodernism.org/" TargetMode="External"/><Relationship Id="rId4" Type="http://schemas.openxmlformats.org/officeDocument/2006/relationships/hyperlink" Target="http://aestheticsandculture.net/index.php/jac/article/view/5677/6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2022-03-31T07:24:00Z</dcterms:created>
  <dcterms:modified xsi:type="dcterms:W3CDTF">2022-03-31T07:43:00Z</dcterms:modified>
</cp:coreProperties>
</file>