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4F" w:rsidRPr="00552E3D" w:rsidRDefault="00A4134F" w:rsidP="00A4134F">
      <w:pPr>
        <w:jc w:val="center"/>
        <w:rPr>
          <w:b/>
          <w:sz w:val="32"/>
          <w:szCs w:val="24"/>
        </w:rPr>
      </w:pPr>
      <w:r w:rsidRPr="00552E3D">
        <w:rPr>
          <w:b/>
          <w:sz w:val="32"/>
          <w:szCs w:val="24"/>
        </w:rPr>
        <w:t>GENDER AND SOCIETY</w:t>
      </w:r>
    </w:p>
    <w:p w:rsidR="00A4134F" w:rsidRDefault="00A4134F" w:rsidP="00A4134F">
      <w:pPr>
        <w:spacing w:after="0" w:line="240" w:lineRule="auto"/>
        <w:rPr>
          <w:b/>
        </w:rPr>
      </w:pPr>
    </w:p>
    <w:p w:rsidR="00A4134F" w:rsidRDefault="00A4134F" w:rsidP="00A4134F">
      <w:pPr>
        <w:jc w:val="both"/>
        <w:rPr>
          <w:rFonts w:cs="Times New Roman"/>
          <w:b/>
          <w:sz w:val="24"/>
          <w:szCs w:val="24"/>
        </w:rPr>
      </w:pPr>
      <w:bookmarkStart w:id="0" w:name="_GoBack"/>
      <w:bookmarkEnd w:id="0"/>
    </w:p>
    <w:p w:rsidR="00A4134F" w:rsidRPr="00552E3D" w:rsidRDefault="00A4134F" w:rsidP="00A4134F">
      <w:pPr>
        <w:jc w:val="both"/>
        <w:rPr>
          <w:rFonts w:cs="Times New Roman"/>
          <w:b/>
          <w:sz w:val="24"/>
          <w:szCs w:val="24"/>
        </w:rPr>
      </w:pPr>
      <w:r w:rsidRPr="00552E3D">
        <w:rPr>
          <w:rFonts w:cs="Times New Roman"/>
          <w:b/>
          <w:sz w:val="24"/>
          <w:szCs w:val="24"/>
        </w:rPr>
        <w:t>Introduction</w:t>
      </w:r>
    </w:p>
    <w:p w:rsidR="00A4134F" w:rsidRPr="00552E3D" w:rsidRDefault="00A4134F" w:rsidP="00A4134F">
      <w:pPr>
        <w:spacing w:after="0" w:line="240" w:lineRule="auto"/>
        <w:jc w:val="both"/>
        <w:rPr>
          <w:rFonts w:eastAsia="Times New Roman" w:cs="Times New Roman"/>
          <w:sz w:val="24"/>
          <w:szCs w:val="24"/>
        </w:rPr>
      </w:pPr>
      <w:r w:rsidRPr="00552E3D">
        <w:rPr>
          <w:rFonts w:eastAsia="Times New Roman" w:cs="Times New Roman"/>
          <w:sz w:val="24"/>
          <w:szCs w:val="24"/>
        </w:rPr>
        <w:t xml:space="preserve">The course is designed to will review key concepts and debates regarding gender and its position in the Society. It will equip students with the analytical and conceptual skills needed to understand gender issues in both contexts, enabling them to participate effectively in gender and social research, policymaking and implementation. </w:t>
      </w:r>
    </w:p>
    <w:p w:rsidR="00A4134F" w:rsidRPr="00552E3D" w:rsidRDefault="00A4134F" w:rsidP="00A4134F">
      <w:pPr>
        <w:spacing w:after="0" w:line="240" w:lineRule="auto"/>
        <w:jc w:val="both"/>
        <w:rPr>
          <w:rFonts w:eastAsia="Times New Roman" w:cs="Times New Roman"/>
          <w:sz w:val="24"/>
          <w:szCs w:val="24"/>
        </w:rPr>
      </w:pPr>
    </w:p>
    <w:p w:rsidR="00A4134F" w:rsidRPr="00552E3D" w:rsidRDefault="00A4134F" w:rsidP="00A4134F">
      <w:pPr>
        <w:jc w:val="both"/>
        <w:rPr>
          <w:rFonts w:cs="Times New Roman"/>
          <w:b/>
          <w:sz w:val="24"/>
          <w:szCs w:val="24"/>
        </w:rPr>
      </w:pPr>
      <w:r w:rsidRPr="00552E3D">
        <w:rPr>
          <w:rFonts w:cs="Times New Roman"/>
          <w:b/>
          <w:sz w:val="24"/>
          <w:szCs w:val="24"/>
        </w:rPr>
        <w:t>Objectives:</w:t>
      </w:r>
    </w:p>
    <w:p w:rsidR="00A4134F" w:rsidRPr="00552E3D" w:rsidRDefault="00A4134F" w:rsidP="00A4134F">
      <w:pPr>
        <w:numPr>
          <w:ilvl w:val="0"/>
          <w:numId w:val="2"/>
        </w:numPr>
        <w:tabs>
          <w:tab w:val="left" w:pos="540"/>
        </w:tabs>
        <w:spacing w:after="0" w:line="320" w:lineRule="exact"/>
        <w:ind w:left="270" w:hanging="270"/>
        <w:rPr>
          <w:color w:val="000000"/>
          <w:sz w:val="24"/>
          <w:szCs w:val="24"/>
        </w:rPr>
      </w:pPr>
      <w:r w:rsidRPr="00552E3D">
        <w:rPr>
          <w:color w:val="000000"/>
          <w:sz w:val="24"/>
          <w:szCs w:val="24"/>
        </w:rPr>
        <w:t>To understand the way of gender defined in a culture and the impact of these definitions on the lives of men and women within Society.</w:t>
      </w:r>
    </w:p>
    <w:p w:rsidR="00A4134F" w:rsidRPr="00552E3D" w:rsidRDefault="00A4134F" w:rsidP="00A4134F">
      <w:pPr>
        <w:numPr>
          <w:ilvl w:val="0"/>
          <w:numId w:val="2"/>
        </w:numPr>
        <w:tabs>
          <w:tab w:val="left" w:pos="540"/>
        </w:tabs>
        <w:spacing w:after="0" w:line="320" w:lineRule="exact"/>
        <w:ind w:left="270" w:hanging="270"/>
        <w:rPr>
          <w:color w:val="000000"/>
          <w:sz w:val="24"/>
          <w:szCs w:val="24"/>
        </w:rPr>
      </w:pPr>
      <w:r w:rsidRPr="00552E3D">
        <w:rPr>
          <w:color w:val="000000"/>
          <w:sz w:val="24"/>
          <w:szCs w:val="24"/>
        </w:rPr>
        <w:t xml:space="preserve">To explores various areas in which gender plays a role in structuring the way men and women interact, constrain or expand the opportunities available to people, comes to define the individual to him- or herself and is transferred to the next generation via </w:t>
      </w:r>
      <w:r w:rsidRPr="00552E3D">
        <w:rPr>
          <w:i/>
          <w:color w:val="000000"/>
          <w:sz w:val="24"/>
          <w:szCs w:val="24"/>
        </w:rPr>
        <w:t>Language</w:t>
      </w:r>
      <w:r w:rsidRPr="00552E3D">
        <w:rPr>
          <w:color w:val="000000"/>
          <w:sz w:val="24"/>
          <w:szCs w:val="24"/>
        </w:rPr>
        <w:t>, Childhood Socialization and Education.</w:t>
      </w:r>
    </w:p>
    <w:p w:rsidR="00A4134F" w:rsidRPr="00552E3D" w:rsidRDefault="00A4134F" w:rsidP="00A4134F">
      <w:pPr>
        <w:numPr>
          <w:ilvl w:val="0"/>
          <w:numId w:val="2"/>
        </w:numPr>
        <w:tabs>
          <w:tab w:val="left" w:pos="540"/>
        </w:tabs>
        <w:spacing w:after="0" w:line="320" w:lineRule="exact"/>
        <w:ind w:left="270" w:hanging="270"/>
        <w:rPr>
          <w:color w:val="000000"/>
          <w:sz w:val="24"/>
          <w:szCs w:val="24"/>
        </w:rPr>
      </w:pPr>
      <w:r w:rsidRPr="00552E3D">
        <w:rPr>
          <w:color w:val="000000"/>
          <w:sz w:val="24"/>
          <w:szCs w:val="24"/>
        </w:rPr>
        <w:t xml:space="preserve">To encourages students to be critical consumers of media and of the presentations of gender in society. Issues such as gender Discrimination, </w:t>
      </w:r>
      <w:r w:rsidRPr="00552E3D">
        <w:rPr>
          <w:i/>
          <w:color w:val="000000"/>
          <w:sz w:val="24"/>
          <w:szCs w:val="24"/>
        </w:rPr>
        <w:t>Privilege</w:t>
      </w:r>
      <w:r w:rsidRPr="00552E3D">
        <w:rPr>
          <w:color w:val="000000"/>
          <w:sz w:val="24"/>
          <w:szCs w:val="24"/>
        </w:rPr>
        <w:t xml:space="preserve"> and </w:t>
      </w:r>
      <w:r w:rsidRPr="00552E3D">
        <w:rPr>
          <w:i/>
          <w:color w:val="000000"/>
          <w:sz w:val="24"/>
          <w:szCs w:val="24"/>
        </w:rPr>
        <w:t>Politics</w:t>
      </w:r>
      <w:r w:rsidRPr="00552E3D">
        <w:rPr>
          <w:color w:val="000000"/>
          <w:sz w:val="24"/>
          <w:szCs w:val="24"/>
        </w:rPr>
        <w:t xml:space="preserve"> are viewed from the perspective of gender definitions and the impact of feminism on the study of gender and lives of Men and </w:t>
      </w:r>
      <w:r w:rsidRPr="00552E3D">
        <w:rPr>
          <w:i/>
          <w:color w:val="000000"/>
          <w:sz w:val="24"/>
          <w:szCs w:val="24"/>
        </w:rPr>
        <w:t>Women</w:t>
      </w:r>
      <w:r w:rsidRPr="00552E3D">
        <w:rPr>
          <w:color w:val="000000"/>
          <w:sz w:val="24"/>
          <w:szCs w:val="24"/>
        </w:rPr>
        <w:t xml:space="preserve">. </w:t>
      </w:r>
    </w:p>
    <w:p w:rsidR="00A4134F" w:rsidRPr="00552E3D" w:rsidRDefault="00A4134F" w:rsidP="00A4134F">
      <w:pPr>
        <w:numPr>
          <w:ilvl w:val="0"/>
          <w:numId w:val="2"/>
        </w:numPr>
        <w:tabs>
          <w:tab w:val="left" w:pos="540"/>
        </w:tabs>
        <w:spacing w:after="0" w:line="320" w:lineRule="exact"/>
        <w:ind w:left="270" w:hanging="270"/>
        <w:rPr>
          <w:color w:val="000000"/>
          <w:sz w:val="24"/>
          <w:szCs w:val="24"/>
        </w:rPr>
      </w:pPr>
      <w:r w:rsidRPr="00552E3D">
        <w:rPr>
          <w:rFonts w:cs="Arial"/>
          <w:sz w:val="24"/>
          <w:szCs w:val="24"/>
        </w:rPr>
        <w:t>To provide an introduction to the theoretical perspectives that has informed current thinking in gender and development.</w:t>
      </w:r>
    </w:p>
    <w:p w:rsidR="00A4134F" w:rsidRPr="00552E3D" w:rsidRDefault="00A4134F" w:rsidP="00A4134F">
      <w:pPr>
        <w:numPr>
          <w:ilvl w:val="0"/>
          <w:numId w:val="2"/>
        </w:numPr>
        <w:tabs>
          <w:tab w:val="left" w:pos="540"/>
        </w:tabs>
        <w:spacing w:after="0" w:line="320" w:lineRule="exact"/>
        <w:ind w:left="270" w:hanging="270"/>
        <w:rPr>
          <w:rFonts w:cs="Calibri"/>
          <w:color w:val="000000"/>
          <w:sz w:val="24"/>
          <w:szCs w:val="24"/>
        </w:rPr>
      </w:pPr>
      <w:r w:rsidRPr="00552E3D">
        <w:rPr>
          <w:rFonts w:cs="Arial"/>
          <w:sz w:val="24"/>
          <w:szCs w:val="24"/>
        </w:rPr>
        <w:t xml:space="preserve"> To bring the conceptual and analytical skills in gender and development. </w:t>
      </w:r>
    </w:p>
    <w:p w:rsidR="00A4134F" w:rsidRPr="00552E3D" w:rsidRDefault="00A4134F" w:rsidP="00A4134F">
      <w:pPr>
        <w:tabs>
          <w:tab w:val="left" w:pos="6300"/>
          <w:tab w:val="left" w:pos="7170"/>
        </w:tabs>
        <w:jc w:val="both"/>
        <w:rPr>
          <w:rFonts w:cs="Times New Roman"/>
          <w:b/>
          <w:sz w:val="24"/>
          <w:szCs w:val="24"/>
          <w:u w:val="single"/>
        </w:rPr>
      </w:pPr>
    </w:p>
    <w:p w:rsidR="00A4134F" w:rsidRPr="00552E3D" w:rsidRDefault="00A4134F" w:rsidP="00A4134F">
      <w:pPr>
        <w:jc w:val="both"/>
        <w:rPr>
          <w:rFonts w:cs="Times New Roman"/>
          <w:b/>
          <w:sz w:val="24"/>
          <w:szCs w:val="24"/>
        </w:rPr>
      </w:pPr>
      <w:r w:rsidRPr="00552E3D">
        <w:rPr>
          <w:rFonts w:cs="Times New Roman"/>
          <w:b/>
          <w:sz w:val="24"/>
          <w:szCs w:val="24"/>
        </w:rPr>
        <w:t>Outcomes:</w:t>
      </w:r>
    </w:p>
    <w:p w:rsidR="00A4134F" w:rsidRPr="00552E3D" w:rsidRDefault="00A4134F" w:rsidP="00A4134F">
      <w:pPr>
        <w:spacing w:after="0" w:line="240" w:lineRule="auto"/>
        <w:jc w:val="both"/>
        <w:rPr>
          <w:rFonts w:eastAsia="Times New Roman" w:cs="Times New Roman"/>
          <w:sz w:val="24"/>
          <w:szCs w:val="24"/>
        </w:rPr>
      </w:pPr>
      <w:r w:rsidRPr="00552E3D">
        <w:rPr>
          <w:rFonts w:eastAsia="Times New Roman" w:cs="Times New Roman"/>
          <w:sz w:val="24"/>
          <w:szCs w:val="24"/>
        </w:rPr>
        <w:t xml:space="preserve">The learning outcomes of the course include: </w:t>
      </w:r>
    </w:p>
    <w:p w:rsidR="00A4134F" w:rsidRPr="00552E3D" w:rsidRDefault="00A4134F" w:rsidP="00A4134F">
      <w:pPr>
        <w:numPr>
          <w:ilvl w:val="0"/>
          <w:numId w:val="2"/>
        </w:numPr>
        <w:tabs>
          <w:tab w:val="left" w:pos="540"/>
        </w:tabs>
        <w:spacing w:after="0" w:line="320" w:lineRule="exact"/>
        <w:ind w:left="270" w:hanging="270"/>
        <w:rPr>
          <w:color w:val="000000"/>
          <w:sz w:val="24"/>
          <w:szCs w:val="24"/>
        </w:rPr>
      </w:pPr>
      <w:bookmarkStart w:id="1" w:name="objectives"/>
      <w:bookmarkEnd w:id="1"/>
      <w:r w:rsidRPr="00552E3D">
        <w:rPr>
          <w:color w:val="000000"/>
          <w:sz w:val="24"/>
          <w:szCs w:val="24"/>
        </w:rPr>
        <w:t xml:space="preserve">Demonstrate systematic understanding of the various approaches to gender and development and how these have developed. </w:t>
      </w:r>
    </w:p>
    <w:p w:rsidR="00A4134F" w:rsidRPr="00552E3D" w:rsidRDefault="00A4134F" w:rsidP="00A4134F">
      <w:pPr>
        <w:numPr>
          <w:ilvl w:val="0"/>
          <w:numId w:val="2"/>
        </w:numPr>
        <w:tabs>
          <w:tab w:val="left" w:pos="540"/>
        </w:tabs>
        <w:spacing w:after="0" w:line="320" w:lineRule="exact"/>
        <w:ind w:left="270" w:hanging="270"/>
        <w:rPr>
          <w:color w:val="000000"/>
          <w:sz w:val="24"/>
          <w:szCs w:val="24"/>
        </w:rPr>
      </w:pPr>
      <w:r w:rsidRPr="00552E3D">
        <w:rPr>
          <w:color w:val="000000"/>
          <w:sz w:val="24"/>
          <w:szCs w:val="24"/>
        </w:rPr>
        <w:t xml:space="preserve"> Display sophisticated knowledge of theoretical issues entailed in the concepts of; sex, gender, power, empowerment, and social relations of gender. </w:t>
      </w:r>
    </w:p>
    <w:p w:rsidR="00A4134F" w:rsidRPr="00552E3D" w:rsidRDefault="00A4134F" w:rsidP="00A4134F">
      <w:pPr>
        <w:numPr>
          <w:ilvl w:val="0"/>
          <w:numId w:val="2"/>
        </w:numPr>
        <w:tabs>
          <w:tab w:val="left" w:pos="540"/>
        </w:tabs>
        <w:spacing w:after="0" w:line="320" w:lineRule="exact"/>
        <w:ind w:left="270" w:hanging="270"/>
        <w:rPr>
          <w:color w:val="000000"/>
          <w:sz w:val="24"/>
          <w:szCs w:val="24"/>
        </w:rPr>
      </w:pPr>
      <w:r w:rsidRPr="00552E3D">
        <w:rPr>
          <w:color w:val="000000"/>
          <w:sz w:val="24"/>
          <w:szCs w:val="24"/>
        </w:rPr>
        <w:t xml:space="preserve">Acquire abilities in applying these theoretical issues to an understanding of specific situations in the developing world. </w:t>
      </w:r>
    </w:p>
    <w:p w:rsidR="00A4134F" w:rsidRDefault="00A4134F" w:rsidP="00A4134F">
      <w:pPr>
        <w:jc w:val="both"/>
        <w:rPr>
          <w:rFonts w:cs="Times New Roman"/>
          <w:b/>
          <w:sz w:val="24"/>
          <w:szCs w:val="24"/>
        </w:rPr>
      </w:pPr>
    </w:p>
    <w:p w:rsidR="00A4134F" w:rsidRPr="00552E3D" w:rsidRDefault="00A4134F" w:rsidP="00A4134F">
      <w:pPr>
        <w:jc w:val="both"/>
        <w:rPr>
          <w:rFonts w:cs="Times New Roman"/>
          <w:b/>
          <w:sz w:val="24"/>
          <w:szCs w:val="24"/>
        </w:rPr>
      </w:pPr>
    </w:p>
    <w:p w:rsidR="00A4134F" w:rsidRPr="00552E3D" w:rsidRDefault="00A4134F" w:rsidP="00A4134F">
      <w:pPr>
        <w:jc w:val="both"/>
        <w:rPr>
          <w:rFonts w:cs="Times New Roman"/>
          <w:b/>
          <w:sz w:val="24"/>
          <w:szCs w:val="24"/>
        </w:rPr>
      </w:pPr>
      <w:r w:rsidRPr="00552E3D">
        <w:rPr>
          <w:rFonts w:cs="Times New Roman"/>
          <w:b/>
          <w:sz w:val="24"/>
          <w:szCs w:val="24"/>
        </w:rPr>
        <w:t>Teaching Method:</w:t>
      </w:r>
    </w:p>
    <w:p w:rsidR="00A4134F" w:rsidRDefault="00A4134F" w:rsidP="00A4134F">
      <w:pPr>
        <w:jc w:val="both"/>
        <w:rPr>
          <w:rFonts w:cs="Times New Roman"/>
          <w:sz w:val="24"/>
          <w:szCs w:val="24"/>
        </w:rPr>
      </w:pPr>
      <w:r w:rsidRPr="00552E3D">
        <w:rPr>
          <w:rFonts w:cs="Times New Roman"/>
          <w:sz w:val="24"/>
          <w:szCs w:val="24"/>
        </w:rPr>
        <w:lastRenderedPageBreak/>
        <w:t xml:space="preserve">This course will be based on interactive discussions; student </w:t>
      </w:r>
      <w:proofErr w:type="spellStart"/>
      <w:r w:rsidRPr="00552E3D">
        <w:rPr>
          <w:rFonts w:cs="Times New Roman"/>
          <w:sz w:val="24"/>
          <w:szCs w:val="24"/>
        </w:rPr>
        <w:t>centred</w:t>
      </w:r>
      <w:proofErr w:type="spellEnd"/>
      <w:r w:rsidRPr="00552E3D">
        <w:rPr>
          <w:rFonts w:cs="Times New Roman"/>
          <w:sz w:val="24"/>
          <w:szCs w:val="24"/>
        </w:rPr>
        <w:t xml:space="preserve"> learning activities and research projects. The preferred teaching approach will be ‘active learning’ in which students solve problems, answer questions, formulate questions of their own, brainstorm, discuss, explain and debate. Also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A4134F" w:rsidRPr="00EF126A" w:rsidRDefault="00A4134F" w:rsidP="00A4134F">
      <w:pPr>
        <w:rPr>
          <w:b/>
          <w:bCs/>
          <w:caps/>
        </w:rPr>
      </w:pPr>
      <w:r w:rsidRPr="00EF126A">
        <w:rPr>
          <w:b/>
          <w:bCs/>
          <w:caps/>
        </w:rPr>
        <w:t>Grade breakup:</w:t>
      </w:r>
    </w:p>
    <w:p w:rsidR="00A4134F" w:rsidRPr="00EF126A" w:rsidRDefault="00A4134F" w:rsidP="00A4134F">
      <w:r w:rsidRPr="00EF126A">
        <w:tab/>
        <w:t>Class participation and attendance</w:t>
      </w:r>
      <w:r w:rsidRPr="00EF126A">
        <w:tab/>
      </w:r>
      <w:r w:rsidRPr="00EF126A">
        <w:tab/>
      </w:r>
      <w:r w:rsidRPr="00EF126A">
        <w:tab/>
        <w:t>10%</w:t>
      </w:r>
    </w:p>
    <w:p w:rsidR="00A4134F" w:rsidRPr="00EF126A" w:rsidRDefault="00A4134F" w:rsidP="00A4134F">
      <w:r w:rsidRPr="00EF126A">
        <w:tab/>
        <w:t>Quizzes</w:t>
      </w:r>
      <w:r w:rsidRPr="00EF126A">
        <w:tab/>
      </w:r>
      <w:r w:rsidRPr="00EF126A">
        <w:tab/>
      </w:r>
      <w:r w:rsidRPr="00EF126A">
        <w:tab/>
      </w:r>
      <w:r w:rsidRPr="00EF126A">
        <w:tab/>
      </w:r>
      <w:r w:rsidRPr="00EF126A">
        <w:tab/>
      </w:r>
      <w:r w:rsidRPr="00EF126A">
        <w:tab/>
      </w:r>
      <w:r w:rsidRPr="00EF126A">
        <w:tab/>
        <w:t>20%</w:t>
      </w:r>
    </w:p>
    <w:p w:rsidR="00A4134F" w:rsidRPr="00EF126A" w:rsidRDefault="00A4134F" w:rsidP="00A4134F">
      <w:pPr>
        <w:ind w:firstLine="720"/>
      </w:pPr>
      <w:r w:rsidRPr="00EF126A">
        <w:t>Mid-term exam</w:t>
      </w:r>
      <w:r w:rsidRPr="00EF126A">
        <w:tab/>
      </w:r>
      <w:r w:rsidRPr="00EF126A">
        <w:tab/>
      </w:r>
      <w:r w:rsidRPr="00EF126A">
        <w:tab/>
      </w:r>
      <w:r w:rsidRPr="00EF126A">
        <w:tab/>
      </w:r>
      <w:r w:rsidRPr="00EF126A">
        <w:tab/>
      </w:r>
      <w:r w:rsidRPr="00EF126A">
        <w:tab/>
        <w:t>30%</w:t>
      </w:r>
    </w:p>
    <w:p w:rsidR="00A4134F" w:rsidRPr="00EF126A" w:rsidRDefault="00A4134F" w:rsidP="00A4134F">
      <w:pPr>
        <w:ind w:firstLine="720"/>
      </w:pPr>
      <w:r w:rsidRPr="00EF126A">
        <w:t xml:space="preserve">Final Exam     </w:t>
      </w:r>
      <w:r w:rsidRPr="00EF126A">
        <w:tab/>
      </w:r>
      <w:r w:rsidRPr="00EF126A">
        <w:tab/>
      </w:r>
      <w:r w:rsidRPr="00EF126A">
        <w:tab/>
      </w:r>
      <w:r w:rsidRPr="00EF126A">
        <w:tab/>
      </w:r>
      <w:r w:rsidRPr="00EF126A">
        <w:tab/>
      </w:r>
      <w:r w:rsidRPr="00EF126A">
        <w:tab/>
        <w:t>40%</w:t>
      </w:r>
    </w:p>
    <w:p w:rsidR="00A4134F" w:rsidRPr="00552E3D" w:rsidRDefault="00A4134F" w:rsidP="00A4134F">
      <w:pPr>
        <w:jc w:val="both"/>
        <w:rPr>
          <w:rFonts w:cs="Times New Roman"/>
          <w:b/>
          <w:sz w:val="24"/>
          <w:szCs w:val="24"/>
        </w:rPr>
      </w:pPr>
    </w:p>
    <w:tbl>
      <w:tblPr>
        <w:tblStyle w:val="TableGrid"/>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778"/>
      </w:tblGrid>
      <w:tr w:rsidR="00A4134F" w:rsidRPr="00552E3D" w:rsidTr="00D12CCE">
        <w:tc>
          <w:tcPr>
            <w:tcW w:w="798" w:type="pct"/>
            <w:shd w:val="clear" w:color="auto" w:fill="auto"/>
          </w:tcPr>
          <w:p w:rsidR="00A4134F" w:rsidRPr="00552E3D" w:rsidRDefault="00A4134F" w:rsidP="00D12CCE">
            <w:pPr>
              <w:jc w:val="center"/>
              <w:rPr>
                <w:b/>
                <w:sz w:val="24"/>
                <w:szCs w:val="24"/>
              </w:rPr>
            </w:pPr>
            <w:r w:rsidRPr="00552E3D">
              <w:rPr>
                <w:b/>
                <w:sz w:val="24"/>
                <w:szCs w:val="24"/>
              </w:rPr>
              <w:t>Weeks</w:t>
            </w:r>
          </w:p>
        </w:tc>
        <w:tc>
          <w:tcPr>
            <w:tcW w:w="4202" w:type="pct"/>
            <w:shd w:val="clear" w:color="auto" w:fill="auto"/>
          </w:tcPr>
          <w:p w:rsidR="00A4134F" w:rsidRPr="00552E3D" w:rsidRDefault="00A4134F" w:rsidP="00D12CCE">
            <w:pPr>
              <w:jc w:val="center"/>
              <w:rPr>
                <w:b/>
                <w:sz w:val="24"/>
                <w:szCs w:val="24"/>
              </w:rPr>
            </w:pPr>
            <w:r w:rsidRPr="00552E3D">
              <w:rPr>
                <w:b/>
                <w:sz w:val="24"/>
                <w:szCs w:val="24"/>
              </w:rPr>
              <w:t>Topics</w:t>
            </w:r>
          </w:p>
          <w:p w:rsidR="00A4134F" w:rsidRPr="00552E3D" w:rsidRDefault="00A4134F" w:rsidP="00D12CCE">
            <w:pPr>
              <w:jc w:val="center"/>
              <w:rPr>
                <w:b/>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1</w:t>
            </w:r>
          </w:p>
        </w:tc>
        <w:tc>
          <w:tcPr>
            <w:tcW w:w="4202" w:type="pct"/>
          </w:tcPr>
          <w:p w:rsidR="00A4134F" w:rsidRPr="00552E3D" w:rsidRDefault="00A4134F" w:rsidP="00D12CCE">
            <w:pPr>
              <w:ind w:left="-42"/>
              <w:rPr>
                <w:rFonts w:cs="Times New Roman"/>
                <w:sz w:val="24"/>
                <w:szCs w:val="24"/>
                <w:u w:val="single"/>
              </w:rPr>
            </w:pPr>
            <w:r w:rsidRPr="00552E3D">
              <w:rPr>
                <w:rFonts w:cs="Times New Roman"/>
                <w:sz w:val="24"/>
                <w:szCs w:val="24"/>
                <w:u w:val="single"/>
              </w:rPr>
              <w:t>Introduction to the course</w:t>
            </w:r>
          </w:p>
          <w:p w:rsidR="00A4134F" w:rsidRPr="00552E3D" w:rsidRDefault="00A4134F" w:rsidP="00A4134F">
            <w:pPr>
              <w:pStyle w:val="ListParagraph"/>
              <w:numPr>
                <w:ilvl w:val="0"/>
                <w:numId w:val="1"/>
              </w:numPr>
              <w:spacing w:after="0" w:line="240" w:lineRule="auto"/>
              <w:ind w:left="138" w:hanging="180"/>
              <w:rPr>
                <w:rFonts w:cs="Times New Roman"/>
                <w:sz w:val="24"/>
                <w:szCs w:val="24"/>
              </w:rPr>
            </w:pPr>
            <w:r w:rsidRPr="00552E3D">
              <w:rPr>
                <w:rFonts w:cs="Times New Roman"/>
                <w:sz w:val="24"/>
                <w:szCs w:val="24"/>
              </w:rPr>
              <w:t xml:space="preserve">Review of Syllabus </w:t>
            </w:r>
          </w:p>
          <w:p w:rsidR="00A4134F" w:rsidRPr="00552E3D" w:rsidRDefault="00A4134F" w:rsidP="00A4134F">
            <w:pPr>
              <w:pStyle w:val="ListParagraph"/>
              <w:numPr>
                <w:ilvl w:val="0"/>
                <w:numId w:val="1"/>
              </w:numPr>
              <w:spacing w:after="0" w:line="240" w:lineRule="auto"/>
              <w:ind w:left="138" w:hanging="180"/>
              <w:rPr>
                <w:sz w:val="24"/>
                <w:szCs w:val="24"/>
              </w:rPr>
            </w:pPr>
            <w:r w:rsidRPr="00552E3D">
              <w:rPr>
                <w:rFonts w:cs="Times New Roman"/>
                <w:sz w:val="24"/>
                <w:szCs w:val="24"/>
              </w:rPr>
              <w:t>Defining Key Terminologies</w:t>
            </w:r>
          </w:p>
          <w:p w:rsidR="00A4134F" w:rsidRPr="00552E3D" w:rsidRDefault="00A4134F" w:rsidP="00D12CCE">
            <w:pPr>
              <w:pStyle w:val="ListParagraph"/>
              <w:ind w:left="138"/>
              <w:rPr>
                <w:sz w:val="24"/>
                <w:szCs w:val="24"/>
              </w:rPr>
            </w:pPr>
          </w:p>
          <w:p w:rsidR="00A4134F" w:rsidRPr="00552E3D" w:rsidRDefault="00A4134F" w:rsidP="00D12CCE">
            <w:pPr>
              <w:pStyle w:val="ListParagraph"/>
              <w:ind w:left="138"/>
              <w:rPr>
                <w:sz w:val="24"/>
                <w:szCs w:val="24"/>
              </w:rPr>
            </w:pPr>
            <w:r w:rsidRPr="00552E3D">
              <w:rPr>
                <w:sz w:val="24"/>
                <w:szCs w:val="24"/>
              </w:rPr>
              <w:t>Reading:</w:t>
            </w:r>
          </w:p>
          <w:p w:rsidR="00A4134F" w:rsidRPr="00552E3D" w:rsidRDefault="00A4134F" w:rsidP="00D12CCE">
            <w:pPr>
              <w:pStyle w:val="Heading2"/>
              <w:outlineLvl w:val="1"/>
              <w:rPr>
                <w:rFonts w:asciiTheme="minorHAnsi" w:eastAsiaTheme="minorEastAsia" w:hAnsiTheme="minorHAnsi"/>
                <w:b w:val="0"/>
                <w:sz w:val="24"/>
                <w:szCs w:val="24"/>
              </w:rPr>
            </w:pPr>
            <w:r w:rsidRPr="00552E3D">
              <w:rPr>
                <w:rFonts w:asciiTheme="minorHAnsi" w:eastAsiaTheme="minorEastAsia" w:hAnsiTheme="minorHAnsi"/>
                <w:b w:val="0"/>
                <w:sz w:val="24"/>
                <w:szCs w:val="24"/>
              </w:rPr>
              <w:t xml:space="preserve">Jane </w:t>
            </w:r>
            <w:proofErr w:type="spellStart"/>
            <w:r w:rsidRPr="00552E3D">
              <w:rPr>
                <w:rFonts w:asciiTheme="minorHAnsi" w:eastAsiaTheme="minorEastAsia" w:hAnsiTheme="minorHAnsi"/>
                <w:b w:val="0"/>
                <w:sz w:val="24"/>
                <w:szCs w:val="24"/>
              </w:rPr>
              <w:t>Pilcher</w:t>
            </w:r>
            <w:proofErr w:type="spellEnd"/>
            <w:r w:rsidRPr="00552E3D">
              <w:rPr>
                <w:rFonts w:asciiTheme="minorHAnsi" w:eastAsiaTheme="minorEastAsia" w:hAnsiTheme="minorHAnsi"/>
                <w:b w:val="0"/>
                <w:bCs w:val="0"/>
                <w:sz w:val="24"/>
                <w:szCs w:val="24"/>
              </w:rPr>
              <w:t xml:space="preserve"> and </w:t>
            </w:r>
            <w:r w:rsidRPr="00552E3D">
              <w:rPr>
                <w:rFonts w:asciiTheme="minorHAnsi" w:eastAsiaTheme="minorEastAsia" w:hAnsiTheme="minorHAnsi"/>
                <w:b w:val="0"/>
                <w:sz w:val="24"/>
                <w:szCs w:val="24"/>
              </w:rPr>
              <w:t xml:space="preserve">Imelda </w:t>
            </w:r>
            <w:proofErr w:type="spellStart"/>
            <w:r w:rsidRPr="00552E3D">
              <w:rPr>
                <w:rFonts w:asciiTheme="minorHAnsi" w:eastAsiaTheme="minorEastAsia" w:hAnsiTheme="minorHAnsi"/>
                <w:b w:val="0"/>
                <w:sz w:val="24"/>
                <w:szCs w:val="24"/>
              </w:rPr>
              <w:t>Whelehan</w:t>
            </w:r>
            <w:proofErr w:type="spellEnd"/>
            <w:r w:rsidRPr="00552E3D">
              <w:rPr>
                <w:rFonts w:asciiTheme="minorHAnsi" w:eastAsiaTheme="minorEastAsia" w:hAnsiTheme="minorHAnsi"/>
                <w:b w:val="0"/>
                <w:sz w:val="24"/>
                <w:szCs w:val="24"/>
              </w:rPr>
              <w:t xml:space="preserve"> </w:t>
            </w:r>
            <w:r w:rsidRPr="00552E3D">
              <w:rPr>
                <w:rFonts w:asciiTheme="minorHAnsi" w:eastAsiaTheme="minorEastAsia" w:hAnsiTheme="minorHAnsi"/>
                <w:b w:val="0"/>
                <w:bCs w:val="0"/>
                <w:sz w:val="24"/>
                <w:szCs w:val="24"/>
              </w:rPr>
              <w:t>(2004). 50 Key Concepts in Gender Studies</w:t>
            </w:r>
            <w:r w:rsidRPr="00552E3D">
              <w:rPr>
                <w:rFonts w:asciiTheme="minorHAnsi" w:eastAsiaTheme="minorEastAsia" w:hAnsiTheme="minorHAnsi"/>
                <w:b w:val="0"/>
                <w:sz w:val="24"/>
                <w:szCs w:val="24"/>
              </w:rPr>
              <w:t xml:space="preserve"> Sage Publications </w:t>
            </w:r>
          </w:p>
          <w:p w:rsidR="00A4134F" w:rsidRPr="00552E3D" w:rsidRDefault="00A4134F" w:rsidP="00D12CCE">
            <w:pPr>
              <w:pStyle w:val="Heading2"/>
              <w:outlineLvl w:val="1"/>
              <w:rPr>
                <w:rFonts w:asciiTheme="minorHAnsi" w:eastAsiaTheme="minorEastAsia" w:hAnsiTheme="minorHAnsi"/>
                <w:b w:val="0"/>
                <w:bCs w:val="0"/>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2</w:t>
            </w:r>
          </w:p>
        </w:tc>
        <w:tc>
          <w:tcPr>
            <w:tcW w:w="4202" w:type="pct"/>
          </w:tcPr>
          <w:p w:rsidR="00A4134F" w:rsidRPr="00552E3D" w:rsidRDefault="00A4134F" w:rsidP="00D12CCE">
            <w:pPr>
              <w:ind w:left="-42"/>
              <w:rPr>
                <w:rFonts w:cs="Times New Roman"/>
                <w:sz w:val="24"/>
                <w:szCs w:val="24"/>
                <w:u w:val="single"/>
              </w:rPr>
            </w:pPr>
            <w:r w:rsidRPr="00552E3D">
              <w:rPr>
                <w:rFonts w:cs="Times New Roman"/>
                <w:sz w:val="24"/>
                <w:szCs w:val="24"/>
                <w:u w:val="single"/>
              </w:rPr>
              <w:t>Social Construction of Gender</w:t>
            </w:r>
          </w:p>
          <w:p w:rsidR="00A4134F" w:rsidRPr="00552E3D" w:rsidRDefault="00A4134F" w:rsidP="00D12CCE">
            <w:pPr>
              <w:pStyle w:val="ListParagraph"/>
              <w:ind w:left="138"/>
              <w:rPr>
                <w:sz w:val="24"/>
                <w:szCs w:val="24"/>
              </w:rPr>
            </w:pPr>
          </w:p>
          <w:p w:rsidR="00A4134F" w:rsidRPr="00552E3D" w:rsidRDefault="00A4134F" w:rsidP="00D12CCE">
            <w:pPr>
              <w:pStyle w:val="ListParagraph"/>
              <w:ind w:left="138"/>
              <w:rPr>
                <w:sz w:val="24"/>
                <w:szCs w:val="24"/>
              </w:rPr>
            </w:pPr>
            <w:r w:rsidRPr="00552E3D">
              <w:rPr>
                <w:sz w:val="24"/>
                <w:szCs w:val="24"/>
              </w:rPr>
              <w:t>Reading:</w:t>
            </w:r>
          </w:p>
          <w:p w:rsidR="00A4134F" w:rsidRPr="00552E3D" w:rsidRDefault="00A4134F" w:rsidP="00D12CCE">
            <w:pPr>
              <w:rPr>
                <w:sz w:val="24"/>
                <w:szCs w:val="24"/>
              </w:rPr>
            </w:pPr>
            <w:r w:rsidRPr="00552E3D">
              <w:rPr>
                <w:rFonts w:eastAsia="Times New Roman" w:cs="Times New Roman"/>
                <w:sz w:val="24"/>
                <w:szCs w:val="24"/>
              </w:rPr>
              <w:t xml:space="preserve">Andersen, Margaret (2009) </w:t>
            </w:r>
            <w:r w:rsidRPr="00552E3D">
              <w:rPr>
                <w:rFonts w:eastAsia="Times New Roman" w:cs="Times New Roman"/>
                <w:i/>
                <w:sz w:val="24"/>
                <w:szCs w:val="24"/>
              </w:rPr>
              <w:t xml:space="preserve">Thinking About Women: Sociological Perspectives on Sex and Gender, </w:t>
            </w:r>
            <w:r w:rsidRPr="00552E3D">
              <w:rPr>
                <w:sz w:val="24"/>
                <w:szCs w:val="24"/>
              </w:rPr>
              <w:t>Macmillan Pub Co; 3</w:t>
            </w:r>
            <w:r w:rsidRPr="00552E3D">
              <w:rPr>
                <w:sz w:val="24"/>
                <w:szCs w:val="24"/>
                <w:vertAlign w:val="superscript"/>
              </w:rPr>
              <w:t>rd</w:t>
            </w:r>
            <w:r w:rsidRPr="00552E3D">
              <w:rPr>
                <w:sz w:val="24"/>
                <w:szCs w:val="24"/>
              </w:rPr>
              <w:t xml:space="preserve"> edition Chapter 2</w:t>
            </w:r>
          </w:p>
          <w:p w:rsidR="00A4134F" w:rsidRPr="00552E3D" w:rsidRDefault="00A4134F" w:rsidP="00D12CCE">
            <w:pPr>
              <w:rPr>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lastRenderedPageBreak/>
              <w:t>Week 3</w:t>
            </w:r>
          </w:p>
        </w:tc>
        <w:tc>
          <w:tcPr>
            <w:tcW w:w="4202" w:type="pct"/>
          </w:tcPr>
          <w:p w:rsidR="00A4134F" w:rsidRPr="00552E3D" w:rsidRDefault="00A4134F" w:rsidP="00D12CCE">
            <w:pPr>
              <w:ind w:left="-42"/>
              <w:rPr>
                <w:rFonts w:cs="Times New Roman"/>
                <w:sz w:val="24"/>
                <w:szCs w:val="24"/>
                <w:u w:val="single"/>
              </w:rPr>
            </w:pPr>
            <w:r w:rsidRPr="00552E3D">
              <w:rPr>
                <w:rFonts w:cs="Times New Roman"/>
                <w:sz w:val="24"/>
                <w:szCs w:val="24"/>
                <w:u w:val="single"/>
              </w:rPr>
              <w:t>Social Institutions and Gender</w:t>
            </w:r>
          </w:p>
          <w:p w:rsidR="00A4134F" w:rsidRPr="00552E3D" w:rsidRDefault="00A4134F" w:rsidP="00D12CCE">
            <w:pPr>
              <w:rPr>
                <w:sz w:val="24"/>
                <w:szCs w:val="24"/>
              </w:rPr>
            </w:pPr>
          </w:p>
          <w:p w:rsidR="00A4134F" w:rsidRPr="00552E3D" w:rsidRDefault="00A4134F" w:rsidP="00D12CCE">
            <w:pPr>
              <w:pStyle w:val="ListParagraph"/>
              <w:ind w:left="138"/>
              <w:rPr>
                <w:sz w:val="24"/>
                <w:szCs w:val="24"/>
              </w:rPr>
            </w:pPr>
            <w:r w:rsidRPr="00552E3D">
              <w:rPr>
                <w:sz w:val="24"/>
                <w:szCs w:val="24"/>
              </w:rPr>
              <w:t>Reading:</w:t>
            </w:r>
          </w:p>
          <w:p w:rsidR="00A4134F" w:rsidRPr="00552E3D" w:rsidRDefault="00A4134F" w:rsidP="00D12CCE">
            <w:pPr>
              <w:rPr>
                <w:sz w:val="24"/>
                <w:szCs w:val="24"/>
              </w:rPr>
            </w:pPr>
            <w:r w:rsidRPr="00552E3D">
              <w:rPr>
                <w:rFonts w:eastAsia="Times New Roman" w:cs="Times New Roman"/>
                <w:sz w:val="24"/>
                <w:szCs w:val="24"/>
              </w:rPr>
              <w:t xml:space="preserve">Andersen, Margaret (2009) </w:t>
            </w:r>
            <w:r w:rsidRPr="00552E3D">
              <w:rPr>
                <w:rFonts w:eastAsia="Times New Roman" w:cs="Times New Roman"/>
                <w:i/>
                <w:sz w:val="24"/>
                <w:szCs w:val="24"/>
              </w:rPr>
              <w:t xml:space="preserve">Thinking About Women: Sociological Perspectives on Sex and Gender, </w:t>
            </w:r>
            <w:r w:rsidRPr="00552E3D">
              <w:rPr>
                <w:sz w:val="24"/>
                <w:szCs w:val="24"/>
              </w:rPr>
              <w:t>Macmillan Pub Co; 3</w:t>
            </w:r>
            <w:r w:rsidRPr="00552E3D">
              <w:rPr>
                <w:sz w:val="24"/>
                <w:szCs w:val="24"/>
                <w:vertAlign w:val="superscript"/>
              </w:rPr>
              <w:t>rd</w:t>
            </w:r>
            <w:r w:rsidRPr="00552E3D">
              <w:rPr>
                <w:sz w:val="24"/>
                <w:szCs w:val="24"/>
              </w:rPr>
              <w:t xml:space="preserve"> edition Chapter 3</w:t>
            </w:r>
          </w:p>
          <w:p w:rsidR="00A4134F" w:rsidRPr="00552E3D" w:rsidRDefault="00A4134F" w:rsidP="00D12CCE">
            <w:pPr>
              <w:rPr>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4</w:t>
            </w:r>
          </w:p>
        </w:tc>
        <w:tc>
          <w:tcPr>
            <w:tcW w:w="4202" w:type="pct"/>
          </w:tcPr>
          <w:p w:rsidR="00A4134F" w:rsidRPr="00552E3D" w:rsidRDefault="00A4134F" w:rsidP="00D12CCE">
            <w:pPr>
              <w:ind w:left="-42"/>
              <w:rPr>
                <w:rFonts w:cs="Times New Roman"/>
                <w:sz w:val="24"/>
                <w:szCs w:val="24"/>
                <w:u w:val="single"/>
              </w:rPr>
            </w:pPr>
            <w:r w:rsidRPr="00552E3D">
              <w:rPr>
                <w:rFonts w:cs="Times New Roman"/>
                <w:sz w:val="24"/>
                <w:szCs w:val="24"/>
                <w:u w:val="single"/>
              </w:rPr>
              <w:t>Theories of Feminism</w:t>
            </w:r>
          </w:p>
          <w:p w:rsidR="00A4134F" w:rsidRPr="00552E3D" w:rsidRDefault="00A4134F" w:rsidP="00D12CCE">
            <w:pPr>
              <w:rPr>
                <w:sz w:val="24"/>
                <w:szCs w:val="24"/>
              </w:rPr>
            </w:pPr>
          </w:p>
          <w:p w:rsidR="00A4134F" w:rsidRPr="00552E3D" w:rsidRDefault="00A4134F" w:rsidP="00D12CCE">
            <w:pPr>
              <w:rPr>
                <w:sz w:val="24"/>
                <w:szCs w:val="24"/>
              </w:rPr>
            </w:pPr>
            <w:r w:rsidRPr="00552E3D">
              <w:rPr>
                <w:sz w:val="24"/>
                <w:szCs w:val="24"/>
              </w:rPr>
              <w:t>Reading:</w:t>
            </w:r>
          </w:p>
          <w:p w:rsidR="00A4134F" w:rsidRPr="00552E3D" w:rsidRDefault="00A4134F" w:rsidP="00A4134F">
            <w:pPr>
              <w:pStyle w:val="ListParagraph"/>
              <w:numPr>
                <w:ilvl w:val="0"/>
                <w:numId w:val="4"/>
              </w:numPr>
              <w:spacing w:after="0" w:line="240" w:lineRule="auto"/>
              <w:ind w:left="469"/>
              <w:rPr>
                <w:sz w:val="24"/>
                <w:szCs w:val="24"/>
              </w:rPr>
            </w:pPr>
            <w:r w:rsidRPr="00552E3D">
              <w:rPr>
                <w:sz w:val="24"/>
                <w:szCs w:val="24"/>
              </w:rPr>
              <w:t>Kramer Laura (2010) Sociology of Gender, Oxford University Press, USA; 3</w:t>
            </w:r>
            <w:r w:rsidRPr="00552E3D">
              <w:rPr>
                <w:sz w:val="24"/>
                <w:szCs w:val="24"/>
                <w:vertAlign w:val="superscript"/>
              </w:rPr>
              <w:t>rd</w:t>
            </w:r>
            <w:r w:rsidRPr="00552E3D">
              <w:rPr>
                <w:sz w:val="24"/>
                <w:szCs w:val="24"/>
              </w:rPr>
              <w:t xml:space="preserve"> edition</w:t>
            </w:r>
          </w:p>
          <w:p w:rsidR="00A4134F" w:rsidRPr="00552E3D" w:rsidRDefault="00A4134F" w:rsidP="00A4134F">
            <w:pPr>
              <w:pStyle w:val="ListParagraph"/>
              <w:numPr>
                <w:ilvl w:val="0"/>
                <w:numId w:val="4"/>
              </w:numPr>
              <w:spacing w:after="0" w:line="240" w:lineRule="auto"/>
              <w:ind w:left="469"/>
              <w:rPr>
                <w:sz w:val="24"/>
                <w:szCs w:val="24"/>
              </w:rPr>
            </w:pPr>
            <w:r w:rsidRPr="00552E3D">
              <w:rPr>
                <w:rFonts w:cs="Times New Roman"/>
                <w:sz w:val="24"/>
                <w:szCs w:val="24"/>
              </w:rPr>
              <w:t xml:space="preserve">Beatrice </w:t>
            </w:r>
            <w:proofErr w:type="spellStart"/>
            <w:r w:rsidRPr="00552E3D">
              <w:rPr>
                <w:rFonts w:cs="Times New Roman"/>
                <w:sz w:val="24"/>
                <w:szCs w:val="24"/>
              </w:rPr>
              <w:t>Kachuck</w:t>
            </w:r>
            <w:proofErr w:type="spellEnd"/>
            <w:r w:rsidRPr="00552E3D">
              <w:rPr>
                <w:rFonts w:cs="Times New Roman"/>
                <w:sz w:val="24"/>
                <w:szCs w:val="24"/>
              </w:rPr>
              <w:t xml:space="preserve"> (2002). Modern Theories of Feminism. Sage Publication.</w:t>
            </w:r>
          </w:p>
          <w:p w:rsidR="00A4134F" w:rsidRPr="00552E3D" w:rsidRDefault="00A4134F" w:rsidP="00D12CCE">
            <w:pPr>
              <w:rPr>
                <w:sz w:val="24"/>
                <w:szCs w:val="24"/>
              </w:rPr>
            </w:pPr>
          </w:p>
        </w:tc>
      </w:tr>
      <w:tr w:rsidR="00A4134F" w:rsidRPr="00552E3D" w:rsidTr="00D12CCE">
        <w:trPr>
          <w:trHeight w:val="537"/>
        </w:trPr>
        <w:tc>
          <w:tcPr>
            <w:tcW w:w="798" w:type="pct"/>
            <w:vMerge w:val="restart"/>
          </w:tcPr>
          <w:p w:rsidR="00A4134F" w:rsidRPr="00552E3D" w:rsidRDefault="00A4134F" w:rsidP="00D12CCE">
            <w:pPr>
              <w:rPr>
                <w:sz w:val="24"/>
                <w:szCs w:val="24"/>
              </w:rPr>
            </w:pPr>
            <w:r w:rsidRPr="00552E3D">
              <w:rPr>
                <w:sz w:val="24"/>
                <w:szCs w:val="24"/>
              </w:rPr>
              <w:t>Week 5</w:t>
            </w:r>
          </w:p>
          <w:p w:rsidR="00A4134F" w:rsidRPr="00552E3D" w:rsidRDefault="00A4134F" w:rsidP="00D12CCE">
            <w:pPr>
              <w:rPr>
                <w:sz w:val="24"/>
                <w:szCs w:val="24"/>
              </w:rPr>
            </w:pPr>
          </w:p>
        </w:tc>
        <w:tc>
          <w:tcPr>
            <w:tcW w:w="4202" w:type="pct"/>
            <w:vMerge w:val="restart"/>
          </w:tcPr>
          <w:p w:rsidR="00A4134F" w:rsidRPr="00552E3D" w:rsidRDefault="00A4134F" w:rsidP="00D12CCE">
            <w:pPr>
              <w:ind w:left="-42"/>
              <w:rPr>
                <w:rFonts w:cs="Times New Roman"/>
                <w:sz w:val="24"/>
                <w:szCs w:val="24"/>
                <w:u w:val="single"/>
              </w:rPr>
            </w:pPr>
            <w:r w:rsidRPr="00552E3D">
              <w:rPr>
                <w:rFonts w:cs="Times New Roman"/>
                <w:sz w:val="24"/>
                <w:szCs w:val="24"/>
                <w:u w:val="single"/>
              </w:rPr>
              <w:t>Understanding Development</w:t>
            </w:r>
          </w:p>
          <w:p w:rsidR="00A4134F" w:rsidRPr="00552E3D" w:rsidRDefault="00A4134F" w:rsidP="00D12CCE">
            <w:pPr>
              <w:rPr>
                <w:sz w:val="24"/>
                <w:szCs w:val="24"/>
              </w:rPr>
            </w:pPr>
          </w:p>
          <w:p w:rsidR="00A4134F" w:rsidRPr="00552E3D" w:rsidRDefault="00A4134F" w:rsidP="00D12CCE">
            <w:pPr>
              <w:rPr>
                <w:sz w:val="24"/>
                <w:szCs w:val="24"/>
              </w:rPr>
            </w:pPr>
            <w:r w:rsidRPr="00552E3D">
              <w:rPr>
                <w:sz w:val="24"/>
                <w:szCs w:val="24"/>
              </w:rPr>
              <w:t>Reading:</w:t>
            </w:r>
          </w:p>
          <w:p w:rsidR="00A4134F" w:rsidRPr="00552E3D" w:rsidRDefault="00A4134F" w:rsidP="00D12CCE">
            <w:pPr>
              <w:outlineLvl w:val="1"/>
              <w:rPr>
                <w:rFonts w:eastAsia="Times New Roman" w:cs="Times New Roman"/>
                <w:bCs/>
                <w:sz w:val="24"/>
                <w:szCs w:val="24"/>
              </w:rPr>
            </w:pPr>
            <w:r w:rsidRPr="00552E3D">
              <w:rPr>
                <w:rStyle w:val="Strong"/>
                <w:sz w:val="24"/>
                <w:szCs w:val="24"/>
              </w:rPr>
              <w:t xml:space="preserve">Andrew Sumner and Michael. A. Tribe (2008) </w:t>
            </w:r>
            <w:r w:rsidRPr="00552E3D">
              <w:rPr>
                <w:rFonts w:eastAsia="Times New Roman" w:cs="Times New Roman"/>
                <w:bCs/>
                <w:sz w:val="24"/>
                <w:szCs w:val="24"/>
              </w:rPr>
              <w:t>International Development Studies: Theories and Methods in Research and Practice. Chapter 1</w:t>
            </w:r>
          </w:p>
          <w:p w:rsidR="00A4134F" w:rsidRPr="00552E3D" w:rsidRDefault="00A4134F" w:rsidP="00D12CCE">
            <w:pPr>
              <w:outlineLvl w:val="1"/>
              <w:rPr>
                <w:rFonts w:eastAsia="Times New Roman" w:cs="Times New Roman"/>
                <w:bCs/>
                <w:sz w:val="24"/>
                <w:szCs w:val="24"/>
              </w:rPr>
            </w:pPr>
          </w:p>
        </w:tc>
      </w:tr>
      <w:tr w:rsidR="00A4134F" w:rsidRPr="00552E3D" w:rsidTr="00D12CCE">
        <w:trPr>
          <w:trHeight w:val="537"/>
        </w:trPr>
        <w:tc>
          <w:tcPr>
            <w:tcW w:w="798" w:type="pct"/>
            <w:vMerge/>
          </w:tcPr>
          <w:p w:rsidR="00A4134F" w:rsidRPr="00552E3D" w:rsidRDefault="00A4134F" w:rsidP="00D12CCE">
            <w:pPr>
              <w:rPr>
                <w:sz w:val="24"/>
                <w:szCs w:val="24"/>
              </w:rPr>
            </w:pPr>
          </w:p>
        </w:tc>
        <w:tc>
          <w:tcPr>
            <w:tcW w:w="4202" w:type="pct"/>
            <w:vMerge/>
          </w:tcPr>
          <w:p w:rsidR="00A4134F" w:rsidRPr="00552E3D" w:rsidRDefault="00A4134F" w:rsidP="00D12CCE">
            <w:pPr>
              <w:rPr>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6</w:t>
            </w:r>
          </w:p>
        </w:tc>
        <w:tc>
          <w:tcPr>
            <w:tcW w:w="4202" w:type="pct"/>
          </w:tcPr>
          <w:p w:rsidR="00A4134F" w:rsidRPr="00552E3D" w:rsidRDefault="00A4134F" w:rsidP="00D12CCE">
            <w:pPr>
              <w:ind w:left="-42"/>
              <w:rPr>
                <w:rFonts w:cs="Times New Roman"/>
                <w:sz w:val="24"/>
                <w:szCs w:val="24"/>
                <w:u w:val="single"/>
              </w:rPr>
            </w:pPr>
            <w:r w:rsidRPr="00552E3D">
              <w:rPr>
                <w:rFonts w:cs="Times New Roman"/>
                <w:sz w:val="24"/>
                <w:szCs w:val="24"/>
                <w:u w:val="single"/>
              </w:rPr>
              <w:t>Key Determinants/Indicators of Development</w:t>
            </w:r>
          </w:p>
          <w:p w:rsidR="00A4134F" w:rsidRPr="00552E3D" w:rsidRDefault="00A4134F" w:rsidP="00D12CCE">
            <w:pPr>
              <w:ind w:left="-42"/>
              <w:rPr>
                <w:rFonts w:cs="Times New Roman"/>
                <w:sz w:val="24"/>
                <w:szCs w:val="24"/>
                <w:u w:val="single"/>
              </w:rPr>
            </w:pPr>
            <w:r w:rsidRPr="00552E3D">
              <w:rPr>
                <w:rFonts w:cs="Times New Roman"/>
                <w:sz w:val="24"/>
                <w:szCs w:val="24"/>
                <w:u w:val="single"/>
              </w:rPr>
              <w:t>Creating Linkages between Development and Gender</w:t>
            </w:r>
          </w:p>
          <w:p w:rsidR="00A4134F" w:rsidRPr="00552E3D" w:rsidRDefault="00A4134F" w:rsidP="00D12CCE">
            <w:pPr>
              <w:rPr>
                <w:sz w:val="24"/>
                <w:szCs w:val="24"/>
              </w:rPr>
            </w:pPr>
          </w:p>
          <w:p w:rsidR="00A4134F" w:rsidRPr="00552E3D" w:rsidRDefault="00A4134F" w:rsidP="00D12CCE">
            <w:pPr>
              <w:rPr>
                <w:sz w:val="24"/>
                <w:szCs w:val="24"/>
              </w:rPr>
            </w:pPr>
            <w:r w:rsidRPr="00552E3D">
              <w:rPr>
                <w:sz w:val="24"/>
                <w:szCs w:val="24"/>
              </w:rPr>
              <w:t>Reading:</w:t>
            </w:r>
          </w:p>
          <w:p w:rsidR="00A4134F" w:rsidRPr="00552E3D" w:rsidRDefault="00A4134F" w:rsidP="00D12CCE">
            <w:pPr>
              <w:outlineLvl w:val="1"/>
              <w:rPr>
                <w:rFonts w:eastAsia="Times New Roman" w:cs="Times New Roman"/>
                <w:bCs/>
                <w:sz w:val="24"/>
                <w:szCs w:val="24"/>
              </w:rPr>
            </w:pPr>
            <w:r w:rsidRPr="00552E3D">
              <w:rPr>
                <w:rStyle w:val="Strong"/>
                <w:sz w:val="24"/>
                <w:szCs w:val="24"/>
              </w:rPr>
              <w:t xml:space="preserve">Andrew Sumner and Michael. A. Tribe (2008) </w:t>
            </w:r>
            <w:r w:rsidRPr="00552E3D">
              <w:rPr>
                <w:rFonts w:eastAsia="Times New Roman" w:cs="Times New Roman"/>
                <w:bCs/>
                <w:sz w:val="24"/>
                <w:szCs w:val="24"/>
              </w:rPr>
              <w:t>International Development Studies: Theories and Methods in Research and Practice. Chapter 1</w:t>
            </w:r>
          </w:p>
          <w:p w:rsidR="00A4134F" w:rsidRPr="00552E3D" w:rsidRDefault="00A4134F" w:rsidP="00D12CCE">
            <w:pPr>
              <w:rPr>
                <w:sz w:val="24"/>
                <w:szCs w:val="24"/>
              </w:rPr>
            </w:pPr>
          </w:p>
          <w:p w:rsidR="00A4134F" w:rsidRPr="00552E3D" w:rsidRDefault="00A4134F" w:rsidP="00D12CCE">
            <w:pPr>
              <w:rPr>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lastRenderedPageBreak/>
              <w:t>Week 7</w:t>
            </w:r>
          </w:p>
        </w:tc>
        <w:tc>
          <w:tcPr>
            <w:tcW w:w="4202" w:type="pct"/>
          </w:tcPr>
          <w:p w:rsidR="00A4134F" w:rsidRPr="00552E3D" w:rsidRDefault="00A4134F" w:rsidP="00D12CCE">
            <w:pPr>
              <w:rPr>
                <w:rFonts w:cs="Times New Roman"/>
                <w:sz w:val="24"/>
                <w:szCs w:val="24"/>
              </w:rPr>
            </w:pPr>
            <w:r w:rsidRPr="00552E3D">
              <w:rPr>
                <w:rFonts w:cs="Times New Roman"/>
                <w:sz w:val="24"/>
                <w:szCs w:val="24"/>
                <w:u w:val="single"/>
              </w:rPr>
              <w:t>Approaches to Gender and Development</w:t>
            </w:r>
            <w:r w:rsidRPr="00552E3D">
              <w:rPr>
                <w:rFonts w:cs="Times New Roman"/>
                <w:sz w:val="24"/>
                <w:szCs w:val="24"/>
              </w:rPr>
              <w:t xml:space="preserve"> </w:t>
            </w:r>
            <w:r w:rsidRPr="00552E3D">
              <w:rPr>
                <w:rFonts w:cs="Times New Roman"/>
                <w:sz w:val="24"/>
                <w:szCs w:val="24"/>
              </w:rPr>
              <w:br/>
              <w:t>• The Welfare Approach</w:t>
            </w:r>
            <w:r w:rsidRPr="00552E3D">
              <w:rPr>
                <w:rFonts w:cs="Times New Roman"/>
                <w:sz w:val="24"/>
                <w:szCs w:val="24"/>
              </w:rPr>
              <w:br/>
              <w:t xml:space="preserve">• The WID Approach </w:t>
            </w:r>
          </w:p>
          <w:p w:rsidR="00A4134F" w:rsidRPr="00552E3D" w:rsidRDefault="00A4134F" w:rsidP="00D12CCE">
            <w:pPr>
              <w:rPr>
                <w:rFonts w:cs="Times New Roman"/>
                <w:sz w:val="24"/>
                <w:szCs w:val="24"/>
              </w:rPr>
            </w:pPr>
            <w:r w:rsidRPr="00552E3D">
              <w:rPr>
                <w:rFonts w:cs="Times New Roman"/>
                <w:sz w:val="24"/>
                <w:szCs w:val="24"/>
              </w:rPr>
              <w:t>• The Efficiency Approach</w:t>
            </w:r>
          </w:p>
          <w:p w:rsidR="00A4134F" w:rsidRPr="00552E3D" w:rsidRDefault="00A4134F" w:rsidP="00D12CCE">
            <w:pPr>
              <w:rPr>
                <w:rFonts w:cs="Times New Roman"/>
                <w:sz w:val="24"/>
                <w:szCs w:val="24"/>
              </w:rPr>
            </w:pPr>
          </w:p>
          <w:p w:rsidR="00A4134F" w:rsidRPr="00552E3D" w:rsidRDefault="00A4134F" w:rsidP="00D12CCE">
            <w:pPr>
              <w:rPr>
                <w:sz w:val="24"/>
                <w:szCs w:val="24"/>
              </w:rPr>
            </w:pPr>
            <w:r w:rsidRPr="00552E3D">
              <w:rPr>
                <w:sz w:val="24"/>
                <w:szCs w:val="24"/>
              </w:rPr>
              <w:t>Reading:</w:t>
            </w:r>
          </w:p>
          <w:p w:rsidR="00A4134F" w:rsidRPr="00552E3D" w:rsidRDefault="00A4134F" w:rsidP="00D12CCE">
            <w:pPr>
              <w:autoSpaceDE w:val="0"/>
              <w:autoSpaceDN w:val="0"/>
              <w:adjustRightInd w:val="0"/>
              <w:rPr>
                <w:rFonts w:cs="Times New Roman"/>
                <w:sz w:val="24"/>
                <w:szCs w:val="24"/>
              </w:rPr>
            </w:pPr>
            <w:r w:rsidRPr="00552E3D">
              <w:rPr>
                <w:rFonts w:cs="Times New Roman"/>
                <w:sz w:val="24"/>
                <w:szCs w:val="24"/>
              </w:rPr>
              <w:t xml:space="preserve">Eva M. </w:t>
            </w:r>
            <w:proofErr w:type="spellStart"/>
            <w:r w:rsidRPr="00552E3D">
              <w:rPr>
                <w:rFonts w:cs="Times New Roman"/>
                <w:sz w:val="24"/>
                <w:szCs w:val="24"/>
              </w:rPr>
              <w:t>Rathgeber</w:t>
            </w:r>
            <w:proofErr w:type="spellEnd"/>
            <w:r w:rsidRPr="00552E3D">
              <w:rPr>
                <w:rFonts w:cs="Times New Roman"/>
                <w:sz w:val="24"/>
                <w:szCs w:val="24"/>
              </w:rPr>
              <w:t xml:space="preserve"> (2000) WID, WAD, GAD: Trends In Research And Practice, International Development Research Centre, Ottawa</w:t>
            </w:r>
          </w:p>
          <w:p w:rsidR="00A4134F" w:rsidRPr="00552E3D" w:rsidRDefault="00A4134F" w:rsidP="00D12CCE">
            <w:pPr>
              <w:rPr>
                <w:sz w:val="24"/>
                <w:szCs w:val="24"/>
              </w:rPr>
            </w:pPr>
          </w:p>
        </w:tc>
      </w:tr>
      <w:tr w:rsidR="00A4134F" w:rsidRPr="00552E3D" w:rsidTr="00D12CCE">
        <w:tc>
          <w:tcPr>
            <w:tcW w:w="798" w:type="pct"/>
            <w:shd w:val="clear" w:color="auto" w:fill="auto"/>
          </w:tcPr>
          <w:p w:rsidR="00A4134F" w:rsidRPr="00552E3D" w:rsidRDefault="00A4134F" w:rsidP="00D12CCE">
            <w:pPr>
              <w:rPr>
                <w:b/>
                <w:sz w:val="24"/>
                <w:szCs w:val="24"/>
              </w:rPr>
            </w:pPr>
            <w:r w:rsidRPr="00552E3D">
              <w:rPr>
                <w:b/>
                <w:sz w:val="24"/>
                <w:szCs w:val="24"/>
              </w:rPr>
              <w:t>Week 8</w:t>
            </w:r>
          </w:p>
        </w:tc>
        <w:tc>
          <w:tcPr>
            <w:tcW w:w="4202" w:type="pct"/>
            <w:shd w:val="clear" w:color="auto" w:fill="auto"/>
          </w:tcPr>
          <w:p w:rsidR="00A4134F" w:rsidRPr="00552E3D" w:rsidRDefault="00A4134F" w:rsidP="00D12CCE">
            <w:pPr>
              <w:jc w:val="center"/>
              <w:rPr>
                <w:b/>
                <w:sz w:val="24"/>
                <w:szCs w:val="24"/>
              </w:rPr>
            </w:pPr>
            <w:r w:rsidRPr="00552E3D">
              <w:rPr>
                <w:b/>
                <w:sz w:val="24"/>
                <w:szCs w:val="24"/>
              </w:rPr>
              <w:t>Mid Term</w:t>
            </w:r>
          </w:p>
          <w:p w:rsidR="00A4134F" w:rsidRPr="00552E3D" w:rsidRDefault="00A4134F" w:rsidP="00D12CCE">
            <w:pPr>
              <w:jc w:val="center"/>
              <w:rPr>
                <w:b/>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9</w:t>
            </w:r>
          </w:p>
        </w:tc>
        <w:tc>
          <w:tcPr>
            <w:tcW w:w="4202" w:type="pct"/>
          </w:tcPr>
          <w:p w:rsidR="00A4134F" w:rsidRPr="00552E3D" w:rsidRDefault="00A4134F" w:rsidP="00A4134F">
            <w:pPr>
              <w:pStyle w:val="ListParagraph"/>
              <w:numPr>
                <w:ilvl w:val="0"/>
                <w:numId w:val="3"/>
              </w:numPr>
              <w:spacing w:after="0" w:line="240" w:lineRule="auto"/>
              <w:ind w:left="163" w:hanging="180"/>
              <w:rPr>
                <w:rFonts w:cs="Times New Roman"/>
                <w:sz w:val="24"/>
                <w:szCs w:val="24"/>
              </w:rPr>
            </w:pPr>
            <w:r w:rsidRPr="00552E3D">
              <w:rPr>
                <w:rFonts w:cs="Times New Roman"/>
                <w:sz w:val="24"/>
                <w:szCs w:val="24"/>
              </w:rPr>
              <w:t>The Equity Approach</w:t>
            </w:r>
          </w:p>
          <w:p w:rsidR="00A4134F" w:rsidRPr="00552E3D" w:rsidRDefault="00A4134F" w:rsidP="00A4134F">
            <w:pPr>
              <w:pStyle w:val="ListParagraph"/>
              <w:numPr>
                <w:ilvl w:val="0"/>
                <w:numId w:val="3"/>
              </w:numPr>
              <w:spacing w:after="0" w:line="240" w:lineRule="auto"/>
              <w:ind w:left="163" w:hanging="180"/>
              <w:rPr>
                <w:rFonts w:cs="Times New Roman"/>
                <w:sz w:val="24"/>
                <w:szCs w:val="24"/>
              </w:rPr>
            </w:pPr>
            <w:r w:rsidRPr="00552E3D">
              <w:rPr>
                <w:rFonts w:cs="Times New Roman"/>
                <w:sz w:val="24"/>
                <w:szCs w:val="24"/>
              </w:rPr>
              <w:t>The Anti-Poverty Approach</w:t>
            </w:r>
          </w:p>
          <w:p w:rsidR="00A4134F" w:rsidRPr="00552E3D" w:rsidRDefault="00A4134F" w:rsidP="00A4134F">
            <w:pPr>
              <w:pStyle w:val="ListParagraph"/>
              <w:numPr>
                <w:ilvl w:val="0"/>
                <w:numId w:val="3"/>
              </w:numPr>
              <w:spacing w:after="0" w:line="240" w:lineRule="auto"/>
              <w:ind w:left="163" w:hanging="180"/>
              <w:rPr>
                <w:rFonts w:cs="Times New Roman"/>
                <w:sz w:val="24"/>
                <w:szCs w:val="24"/>
              </w:rPr>
            </w:pPr>
            <w:r w:rsidRPr="00552E3D">
              <w:rPr>
                <w:rFonts w:cs="Times New Roman"/>
                <w:sz w:val="24"/>
                <w:szCs w:val="24"/>
              </w:rPr>
              <w:t>The Empowerment Approach</w:t>
            </w:r>
          </w:p>
          <w:p w:rsidR="00A4134F" w:rsidRPr="00552E3D" w:rsidRDefault="00A4134F" w:rsidP="00D12CCE">
            <w:pPr>
              <w:ind w:left="-17"/>
              <w:rPr>
                <w:rFonts w:cs="Times New Roman"/>
                <w:sz w:val="24"/>
                <w:szCs w:val="24"/>
              </w:rPr>
            </w:pPr>
          </w:p>
          <w:p w:rsidR="00A4134F" w:rsidRPr="00552E3D" w:rsidRDefault="00A4134F" w:rsidP="00D12CCE">
            <w:pPr>
              <w:rPr>
                <w:sz w:val="24"/>
                <w:szCs w:val="24"/>
              </w:rPr>
            </w:pPr>
            <w:r w:rsidRPr="00552E3D">
              <w:rPr>
                <w:sz w:val="24"/>
                <w:szCs w:val="24"/>
              </w:rPr>
              <w:t>Reading:</w:t>
            </w:r>
          </w:p>
          <w:p w:rsidR="00A4134F" w:rsidRPr="00552E3D" w:rsidRDefault="00A4134F" w:rsidP="00D12CCE">
            <w:pPr>
              <w:autoSpaceDE w:val="0"/>
              <w:autoSpaceDN w:val="0"/>
              <w:adjustRightInd w:val="0"/>
              <w:rPr>
                <w:rFonts w:cs="Frutiger-Black"/>
                <w:sz w:val="24"/>
                <w:szCs w:val="24"/>
              </w:rPr>
            </w:pPr>
            <w:proofErr w:type="spellStart"/>
            <w:r w:rsidRPr="00552E3D">
              <w:rPr>
                <w:rFonts w:cs="Frutiger-Black"/>
                <w:sz w:val="24"/>
                <w:szCs w:val="24"/>
              </w:rPr>
              <w:t>Kaan</w:t>
            </w:r>
            <w:proofErr w:type="spellEnd"/>
            <w:r w:rsidRPr="00552E3D">
              <w:rPr>
                <w:rFonts w:cs="Frutiger-Black"/>
                <w:sz w:val="24"/>
                <w:szCs w:val="24"/>
              </w:rPr>
              <w:t xml:space="preserve"> </w:t>
            </w:r>
            <w:proofErr w:type="spellStart"/>
            <w:r w:rsidRPr="00552E3D">
              <w:rPr>
                <w:rFonts w:cs="Frutiger-Black"/>
                <w:sz w:val="24"/>
                <w:szCs w:val="24"/>
              </w:rPr>
              <w:t>Tasli</w:t>
            </w:r>
            <w:proofErr w:type="spellEnd"/>
            <w:r w:rsidRPr="00552E3D">
              <w:rPr>
                <w:rFonts w:cs="Frutiger-Black"/>
                <w:sz w:val="24"/>
                <w:szCs w:val="24"/>
              </w:rPr>
              <w:t xml:space="preserve"> (2007) A Conceptual Framework For Gender And Development Studies: From Welfare To Empowerment. </w:t>
            </w:r>
            <w:hyperlink r:id="rId5" w:history="1">
              <w:r w:rsidRPr="00552E3D">
                <w:rPr>
                  <w:rStyle w:val="Hyperlink"/>
                  <w:rFonts w:cs="Frutiger-Black"/>
                  <w:sz w:val="24"/>
                  <w:szCs w:val="24"/>
                </w:rPr>
                <w:t>http://www.oefse.at/Downloads/publikationen/foren/Forum32.pdf</w:t>
              </w:r>
            </w:hyperlink>
          </w:p>
          <w:p w:rsidR="00A4134F" w:rsidRPr="00552E3D" w:rsidRDefault="00A4134F" w:rsidP="00D12CCE">
            <w:pPr>
              <w:rPr>
                <w:sz w:val="24"/>
                <w:szCs w:val="24"/>
              </w:rPr>
            </w:pPr>
          </w:p>
          <w:p w:rsidR="00A4134F" w:rsidRPr="00552E3D" w:rsidRDefault="00A4134F" w:rsidP="00D12CCE">
            <w:pPr>
              <w:autoSpaceDE w:val="0"/>
              <w:autoSpaceDN w:val="0"/>
              <w:adjustRightInd w:val="0"/>
              <w:rPr>
                <w:rFonts w:cs="Arial"/>
                <w:sz w:val="24"/>
                <w:szCs w:val="24"/>
              </w:rPr>
            </w:pPr>
            <w:proofErr w:type="spellStart"/>
            <w:r w:rsidRPr="00552E3D">
              <w:rPr>
                <w:rFonts w:cs="Arial"/>
                <w:sz w:val="24"/>
                <w:szCs w:val="24"/>
              </w:rPr>
              <w:t>Rathgeber</w:t>
            </w:r>
            <w:proofErr w:type="spellEnd"/>
            <w:r w:rsidRPr="00552E3D">
              <w:rPr>
                <w:rFonts w:cs="Arial"/>
                <w:sz w:val="24"/>
                <w:szCs w:val="24"/>
              </w:rPr>
              <w:t xml:space="preserve">, Eva (1990): "WID, WAD, GAD: Trends in Research and Practice", in </w:t>
            </w:r>
            <w:r w:rsidRPr="00552E3D">
              <w:rPr>
                <w:rFonts w:cs="Arial"/>
                <w:i/>
                <w:iCs/>
                <w:sz w:val="24"/>
                <w:szCs w:val="24"/>
              </w:rPr>
              <w:t xml:space="preserve">The Journal of Developing Areas </w:t>
            </w:r>
            <w:r w:rsidRPr="00552E3D">
              <w:rPr>
                <w:rFonts w:cs="Arial"/>
                <w:sz w:val="24"/>
                <w:szCs w:val="24"/>
              </w:rPr>
              <w:t>24 (July 1990), 498-502.</w:t>
            </w:r>
          </w:p>
          <w:p w:rsidR="00A4134F" w:rsidRPr="00552E3D" w:rsidRDefault="00A4134F" w:rsidP="00D12CCE">
            <w:pPr>
              <w:autoSpaceDE w:val="0"/>
              <w:autoSpaceDN w:val="0"/>
              <w:adjustRightInd w:val="0"/>
              <w:rPr>
                <w:rFonts w:cs="Times New Roman"/>
                <w:sz w:val="24"/>
                <w:szCs w:val="24"/>
              </w:rPr>
            </w:pPr>
          </w:p>
          <w:p w:rsidR="00A4134F" w:rsidRPr="00552E3D" w:rsidRDefault="00A4134F" w:rsidP="00D12CCE">
            <w:pPr>
              <w:pStyle w:val="ListParagraph"/>
              <w:ind w:left="163"/>
              <w:rPr>
                <w:rFonts w:cs="Times New Roman"/>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10</w:t>
            </w:r>
          </w:p>
        </w:tc>
        <w:tc>
          <w:tcPr>
            <w:tcW w:w="4202" w:type="pct"/>
          </w:tcPr>
          <w:p w:rsidR="00A4134F" w:rsidRPr="00552E3D" w:rsidRDefault="00A4134F" w:rsidP="00D12CCE">
            <w:pPr>
              <w:autoSpaceDE w:val="0"/>
              <w:autoSpaceDN w:val="0"/>
              <w:adjustRightInd w:val="0"/>
              <w:rPr>
                <w:rFonts w:cs="Times New Roman"/>
                <w:sz w:val="24"/>
                <w:szCs w:val="24"/>
              </w:rPr>
            </w:pPr>
            <w:r w:rsidRPr="00552E3D">
              <w:rPr>
                <w:rFonts w:cs="Times New Roman"/>
                <w:sz w:val="24"/>
                <w:szCs w:val="24"/>
              </w:rPr>
              <w:t>• Gender and Development Approach (GAD)</w:t>
            </w:r>
          </w:p>
          <w:p w:rsidR="00A4134F" w:rsidRPr="00552E3D" w:rsidRDefault="00A4134F" w:rsidP="00D12CCE">
            <w:pPr>
              <w:autoSpaceDE w:val="0"/>
              <w:autoSpaceDN w:val="0"/>
              <w:adjustRightInd w:val="0"/>
              <w:rPr>
                <w:rFonts w:cs="Times New Roman"/>
                <w:sz w:val="24"/>
                <w:szCs w:val="24"/>
              </w:rPr>
            </w:pPr>
            <w:r w:rsidRPr="00552E3D">
              <w:rPr>
                <w:rFonts w:cs="Times New Roman"/>
                <w:sz w:val="24"/>
                <w:szCs w:val="24"/>
              </w:rPr>
              <w:t xml:space="preserve">•Women and Development Approach (WAD) </w:t>
            </w:r>
          </w:p>
          <w:p w:rsidR="00A4134F" w:rsidRPr="00552E3D" w:rsidRDefault="00A4134F" w:rsidP="00D12CCE">
            <w:pPr>
              <w:autoSpaceDE w:val="0"/>
              <w:autoSpaceDN w:val="0"/>
              <w:adjustRightInd w:val="0"/>
              <w:rPr>
                <w:rFonts w:cs="Times New Roman"/>
                <w:sz w:val="24"/>
                <w:szCs w:val="24"/>
              </w:rPr>
            </w:pPr>
          </w:p>
          <w:p w:rsidR="00A4134F" w:rsidRPr="00552E3D" w:rsidRDefault="00A4134F" w:rsidP="00D12CCE">
            <w:pPr>
              <w:rPr>
                <w:sz w:val="24"/>
                <w:szCs w:val="24"/>
              </w:rPr>
            </w:pPr>
            <w:r w:rsidRPr="00552E3D">
              <w:rPr>
                <w:sz w:val="24"/>
                <w:szCs w:val="24"/>
              </w:rPr>
              <w:t>Reading:</w:t>
            </w:r>
          </w:p>
          <w:p w:rsidR="00A4134F" w:rsidRPr="00552E3D" w:rsidRDefault="00A4134F" w:rsidP="00D12CCE">
            <w:pPr>
              <w:autoSpaceDE w:val="0"/>
              <w:autoSpaceDN w:val="0"/>
              <w:adjustRightInd w:val="0"/>
              <w:rPr>
                <w:rFonts w:cs="Times New Roman"/>
                <w:sz w:val="24"/>
                <w:szCs w:val="24"/>
              </w:rPr>
            </w:pPr>
            <w:r w:rsidRPr="00552E3D">
              <w:rPr>
                <w:rFonts w:cs="Times New Roman"/>
                <w:sz w:val="24"/>
                <w:szCs w:val="24"/>
              </w:rPr>
              <w:t xml:space="preserve">Eva M. </w:t>
            </w:r>
            <w:proofErr w:type="spellStart"/>
            <w:r w:rsidRPr="00552E3D">
              <w:rPr>
                <w:rFonts w:cs="Times New Roman"/>
                <w:sz w:val="24"/>
                <w:szCs w:val="24"/>
              </w:rPr>
              <w:t>Rathgeber</w:t>
            </w:r>
            <w:proofErr w:type="spellEnd"/>
            <w:r w:rsidRPr="00552E3D">
              <w:rPr>
                <w:rFonts w:cs="Times New Roman"/>
                <w:sz w:val="24"/>
                <w:szCs w:val="24"/>
              </w:rPr>
              <w:t xml:space="preserve"> (2000) WID, WAD, GAD: Trends In Research And Practice, International Development Research Centre, Ottawa</w:t>
            </w:r>
          </w:p>
          <w:p w:rsidR="00A4134F" w:rsidRPr="00552E3D" w:rsidRDefault="00A4134F" w:rsidP="00D12CCE">
            <w:pPr>
              <w:autoSpaceDE w:val="0"/>
              <w:autoSpaceDN w:val="0"/>
              <w:adjustRightInd w:val="0"/>
              <w:rPr>
                <w:rFonts w:cs="Times New Roman"/>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lastRenderedPageBreak/>
              <w:t>Week 11</w:t>
            </w:r>
          </w:p>
        </w:tc>
        <w:tc>
          <w:tcPr>
            <w:tcW w:w="4202" w:type="pct"/>
          </w:tcPr>
          <w:p w:rsidR="00A4134F" w:rsidRPr="00552E3D" w:rsidRDefault="00A4134F" w:rsidP="00D12CCE">
            <w:pPr>
              <w:rPr>
                <w:rFonts w:cs="Times New Roman"/>
                <w:sz w:val="24"/>
                <w:szCs w:val="24"/>
                <w:u w:val="single"/>
              </w:rPr>
            </w:pPr>
            <w:r w:rsidRPr="00552E3D">
              <w:rPr>
                <w:rFonts w:cs="Times New Roman"/>
                <w:sz w:val="24"/>
                <w:szCs w:val="24"/>
                <w:u w:val="single"/>
              </w:rPr>
              <w:t>Development Theories</w:t>
            </w:r>
          </w:p>
          <w:p w:rsidR="00A4134F" w:rsidRPr="00552E3D" w:rsidRDefault="00A4134F" w:rsidP="00A4134F">
            <w:pPr>
              <w:pStyle w:val="ListParagraph"/>
              <w:numPr>
                <w:ilvl w:val="0"/>
                <w:numId w:val="3"/>
              </w:numPr>
              <w:spacing w:after="0" w:line="240" w:lineRule="auto"/>
              <w:ind w:left="163" w:hanging="180"/>
              <w:rPr>
                <w:rFonts w:cs="Times New Roman"/>
                <w:sz w:val="24"/>
                <w:szCs w:val="24"/>
              </w:rPr>
            </w:pPr>
            <w:r w:rsidRPr="00552E3D">
              <w:rPr>
                <w:rFonts w:cs="Times New Roman"/>
                <w:sz w:val="24"/>
                <w:szCs w:val="24"/>
              </w:rPr>
              <w:t>Dependency Theory</w:t>
            </w:r>
          </w:p>
          <w:p w:rsidR="00A4134F" w:rsidRPr="00552E3D" w:rsidRDefault="00A4134F" w:rsidP="00A4134F">
            <w:pPr>
              <w:pStyle w:val="ListParagraph"/>
              <w:numPr>
                <w:ilvl w:val="0"/>
                <w:numId w:val="3"/>
              </w:numPr>
              <w:spacing w:after="0" w:line="240" w:lineRule="auto"/>
              <w:ind w:left="163" w:hanging="180"/>
              <w:rPr>
                <w:rFonts w:cs="Times New Roman"/>
                <w:sz w:val="24"/>
                <w:szCs w:val="24"/>
              </w:rPr>
            </w:pPr>
            <w:r w:rsidRPr="00552E3D">
              <w:rPr>
                <w:rFonts w:cs="Times New Roman"/>
                <w:sz w:val="24"/>
                <w:szCs w:val="24"/>
              </w:rPr>
              <w:t>Modernization Theory</w:t>
            </w:r>
          </w:p>
          <w:p w:rsidR="00A4134F" w:rsidRPr="00552E3D" w:rsidRDefault="00A4134F" w:rsidP="00D12CCE">
            <w:pPr>
              <w:pStyle w:val="Heading3"/>
              <w:outlineLvl w:val="2"/>
              <w:rPr>
                <w:rFonts w:asciiTheme="minorHAnsi" w:hAnsiTheme="minorHAnsi"/>
                <w:b w:val="0"/>
                <w:color w:val="auto"/>
                <w:sz w:val="24"/>
                <w:szCs w:val="24"/>
              </w:rPr>
            </w:pPr>
            <w:r w:rsidRPr="00552E3D">
              <w:rPr>
                <w:rFonts w:asciiTheme="minorHAnsi" w:hAnsiTheme="minorHAnsi"/>
                <w:b w:val="0"/>
                <w:color w:val="auto"/>
                <w:sz w:val="24"/>
                <w:szCs w:val="24"/>
              </w:rPr>
              <w:t xml:space="preserve">Vincent Ferraro, "Dependency Theory: An Introduction," in </w:t>
            </w:r>
            <w:proofErr w:type="gramStart"/>
            <w:r w:rsidRPr="00552E3D">
              <w:rPr>
                <w:rFonts w:asciiTheme="minorHAnsi" w:hAnsiTheme="minorHAnsi"/>
                <w:b w:val="0"/>
                <w:i/>
                <w:iCs/>
                <w:color w:val="auto"/>
                <w:sz w:val="24"/>
                <w:szCs w:val="24"/>
              </w:rPr>
              <w:t>The</w:t>
            </w:r>
            <w:proofErr w:type="gramEnd"/>
            <w:r w:rsidRPr="00552E3D">
              <w:rPr>
                <w:rFonts w:asciiTheme="minorHAnsi" w:hAnsiTheme="minorHAnsi"/>
                <w:b w:val="0"/>
                <w:i/>
                <w:iCs/>
                <w:color w:val="auto"/>
                <w:sz w:val="24"/>
                <w:szCs w:val="24"/>
              </w:rPr>
              <w:t xml:space="preserve"> Development Economics Reader</w:t>
            </w:r>
            <w:r w:rsidRPr="00552E3D">
              <w:rPr>
                <w:rFonts w:asciiTheme="minorHAnsi" w:hAnsiTheme="minorHAnsi"/>
                <w:b w:val="0"/>
                <w:color w:val="auto"/>
                <w:sz w:val="24"/>
                <w:szCs w:val="24"/>
              </w:rPr>
              <w:t>, ed. Giorgio Secondi (London: Routledge, 2008), pp. 58-64</w:t>
            </w:r>
          </w:p>
          <w:p w:rsidR="00A4134F" w:rsidRPr="00552E3D" w:rsidRDefault="00A4134F" w:rsidP="00D12CCE">
            <w:pPr>
              <w:rPr>
                <w:rFonts w:cs="Times New Roman"/>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12</w:t>
            </w:r>
          </w:p>
        </w:tc>
        <w:tc>
          <w:tcPr>
            <w:tcW w:w="4202" w:type="pct"/>
          </w:tcPr>
          <w:p w:rsidR="00A4134F" w:rsidRPr="00552E3D" w:rsidRDefault="00A4134F" w:rsidP="00D12CCE">
            <w:pPr>
              <w:rPr>
                <w:rFonts w:cs="Times New Roman"/>
                <w:sz w:val="24"/>
                <w:szCs w:val="24"/>
                <w:u w:val="single"/>
              </w:rPr>
            </w:pPr>
            <w:r w:rsidRPr="00552E3D">
              <w:rPr>
                <w:rFonts w:cs="Times New Roman"/>
                <w:sz w:val="24"/>
                <w:szCs w:val="24"/>
                <w:u w:val="single"/>
              </w:rPr>
              <w:t>Theory of Social Change</w:t>
            </w:r>
          </w:p>
          <w:p w:rsidR="00A4134F" w:rsidRPr="00552E3D" w:rsidRDefault="00A4134F" w:rsidP="00D12CCE">
            <w:pPr>
              <w:rPr>
                <w:rFonts w:cs="Times New Roman"/>
                <w:sz w:val="24"/>
                <w:szCs w:val="24"/>
              </w:rPr>
            </w:pPr>
            <w:r w:rsidRPr="00552E3D">
              <w:rPr>
                <w:rFonts w:cs="Times New Roman"/>
                <w:sz w:val="24"/>
                <w:szCs w:val="24"/>
              </w:rPr>
              <w:t>Reading:</w:t>
            </w:r>
          </w:p>
          <w:p w:rsidR="00A4134F" w:rsidRPr="00552E3D" w:rsidRDefault="00A4134F" w:rsidP="00D12CCE">
            <w:pPr>
              <w:rPr>
                <w:rFonts w:cs="Times New Roman"/>
                <w:sz w:val="24"/>
                <w:szCs w:val="24"/>
              </w:rPr>
            </w:pPr>
            <w:r w:rsidRPr="00552E3D">
              <w:rPr>
                <w:rFonts w:cs="Times New Roman"/>
                <w:sz w:val="24"/>
                <w:szCs w:val="24"/>
              </w:rPr>
              <w:t xml:space="preserve">Doug </w:t>
            </w:r>
            <w:proofErr w:type="spellStart"/>
            <w:r w:rsidRPr="00552E3D">
              <w:rPr>
                <w:rFonts w:cs="Times New Roman"/>
                <w:sz w:val="24"/>
                <w:szCs w:val="24"/>
              </w:rPr>
              <w:t>Reeler</w:t>
            </w:r>
            <w:proofErr w:type="spellEnd"/>
            <w:r w:rsidRPr="00552E3D">
              <w:rPr>
                <w:rFonts w:cs="Times New Roman"/>
                <w:sz w:val="24"/>
                <w:szCs w:val="24"/>
              </w:rPr>
              <w:t>, (2007) A Three-fold Theory of Social Change and Implications for Practice, Planning, Monitoring and Evaluation</w:t>
            </w:r>
          </w:p>
          <w:p w:rsidR="00A4134F" w:rsidRPr="00552E3D" w:rsidRDefault="00A4134F" w:rsidP="00D12CCE">
            <w:pPr>
              <w:rPr>
                <w:rFonts w:cs="Times New Roman"/>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13</w:t>
            </w:r>
          </w:p>
        </w:tc>
        <w:tc>
          <w:tcPr>
            <w:tcW w:w="4202" w:type="pct"/>
          </w:tcPr>
          <w:p w:rsidR="00A4134F" w:rsidRPr="00552E3D" w:rsidRDefault="00A4134F" w:rsidP="00D12CCE">
            <w:pPr>
              <w:rPr>
                <w:rFonts w:cs="Times New Roman"/>
                <w:sz w:val="24"/>
                <w:szCs w:val="24"/>
                <w:u w:val="single"/>
              </w:rPr>
            </w:pPr>
            <w:r w:rsidRPr="00552E3D">
              <w:rPr>
                <w:rFonts w:cs="Times New Roman"/>
                <w:sz w:val="24"/>
                <w:szCs w:val="24"/>
                <w:u w:val="single"/>
              </w:rPr>
              <w:t>Gender and Islam</w:t>
            </w:r>
          </w:p>
          <w:p w:rsidR="00A4134F" w:rsidRPr="00552E3D" w:rsidRDefault="00A4134F" w:rsidP="00D12CCE">
            <w:pPr>
              <w:rPr>
                <w:sz w:val="24"/>
                <w:szCs w:val="24"/>
              </w:rPr>
            </w:pPr>
          </w:p>
        </w:tc>
      </w:tr>
      <w:tr w:rsidR="00A4134F" w:rsidRPr="00552E3D" w:rsidTr="00D12CCE">
        <w:tc>
          <w:tcPr>
            <w:tcW w:w="798" w:type="pct"/>
          </w:tcPr>
          <w:p w:rsidR="00A4134F" w:rsidRPr="00552E3D" w:rsidRDefault="00A4134F" w:rsidP="00D12CCE">
            <w:pPr>
              <w:rPr>
                <w:sz w:val="24"/>
                <w:szCs w:val="24"/>
              </w:rPr>
            </w:pPr>
            <w:r w:rsidRPr="00552E3D">
              <w:rPr>
                <w:sz w:val="24"/>
                <w:szCs w:val="24"/>
              </w:rPr>
              <w:t>Week 14</w:t>
            </w:r>
          </w:p>
        </w:tc>
        <w:tc>
          <w:tcPr>
            <w:tcW w:w="4202" w:type="pct"/>
          </w:tcPr>
          <w:p w:rsidR="00A4134F" w:rsidRPr="00552E3D" w:rsidRDefault="00A4134F" w:rsidP="00D12CCE">
            <w:pPr>
              <w:rPr>
                <w:rFonts w:cs="Times New Roman"/>
                <w:sz w:val="24"/>
                <w:szCs w:val="24"/>
              </w:rPr>
            </w:pPr>
            <w:r w:rsidRPr="00552E3D">
              <w:rPr>
                <w:rFonts w:cs="Times New Roman"/>
                <w:sz w:val="24"/>
                <w:szCs w:val="24"/>
              </w:rPr>
              <w:t>Presentations</w:t>
            </w:r>
          </w:p>
          <w:p w:rsidR="00A4134F" w:rsidRPr="00552E3D" w:rsidRDefault="00A4134F" w:rsidP="00D12CCE">
            <w:pPr>
              <w:rPr>
                <w:rFonts w:cs="Times New Roman"/>
                <w:sz w:val="24"/>
                <w:szCs w:val="24"/>
              </w:rPr>
            </w:pPr>
          </w:p>
        </w:tc>
      </w:tr>
      <w:tr w:rsidR="00A4134F" w:rsidRPr="00552E3D" w:rsidTr="00D12CCE">
        <w:tc>
          <w:tcPr>
            <w:tcW w:w="798" w:type="pct"/>
            <w:shd w:val="clear" w:color="auto" w:fill="auto"/>
          </w:tcPr>
          <w:p w:rsidR="00A4134F" w:rsidRPr="00552E3D" w:rsidRDefault="00A4134F" w:rsidP="00D12CCE">
            <w:pPr>
              <w:rPr>
                <w:b/>
                <w:sz w:val="24"/>
                <w:szCs w:val="24"/>
              </w:rPr>
            </w:pPr>
            <w:r w:rsidRPr="00552E3D">
              <w:rPr>
                <w:b/>
                <w:sz w:val="24"/>
                <w:szCs w:val="24"/>
              </w:rPr>
              <w:t>Week 15</w:t>
            </w:r>
          </w:p>
        </w:tc>
        <w:tc>
          <w:tcPr>
            <w:tcW w:w="4202" w:type="pct"/>
            <w:shd w:val="clear" w:color="auto" w:fill="auto"/>
          </w:tcPr>
          <w:p w:rsidR="00A4134F" w:rsidRPr="00552E3D" w:rsidRDefault="00A4134F" w:rsidP="00D12CCE">
            <w:pPr>
              <w:jc w:val="center"/>
              <w:rPr>
                <w:rFonts w:cs="Times New Roman"/>
                <w:b/>
                <w:sz w:val="24"/>
                <w:szCs w:val="24"/>
              </w:rPr>
            </w:pPr>
            <w:r w:rsidRPr="00552E3D">
              <w:rPr>
                <w:rFonts w:cs="Times New Roman"/>
                <w:b/>
                <w:sz w:val="24"/>
                <w:szCs w:val="24"/>
              </w:rPr>
              <w:t>Final Term</w:t>
            </w:r>
          </w:p>
          <w:p w:rsidR="00A4134F" w:rsidRPr="00552E3D" w:rsidRDefault="00A4134F" w:rsidP="00D12CCE">
            <w:pPr>
              <w:jc w:val="center"/>
              <w:rPr>
                <w:rFonts w:cs="Times New Roman"/>
                <w:b/>
                <w:sz w:val="24"/>
                <w:szCs w:val="24"/>
              </w:rPr>
            </w:pPr>
          </w:p>
        </w:tc>
      </w:tr>
      <w:tr w:rsidR="00A4134F" w:rsidRPr="00552E3D" w:rsidTr="00D12CCE">
        <w:tc>
          <w:tcPr>
            <w:tcW w:w="5000" w:type="pct"/>
            <w:gridSpan w:val="2"/>
            <w:shd w:val="clear" w:color="auto" w:fill="auto"/>
          </w:tcPr>
          <w:p w:rsidR="00A4134F" w:rsidRPr="00552E3D" w:rsidRDefault="00A4134F" w:rsidP="00D12CCE">
            <w:pPr>
              <w:spacing w:line="320" w:lineRule="exact"/>
              <w:ind w:left="432" w:hanging="432"/>
              <w:jc w:val="both"/>
              <w:rPr>
                <w:b/>
                <w:bCs/>
                <w:sz w:val="24"/>
                <w:szCs w:val="24"/>
                <w:u w:val="single"/>
              </w:rPr>
            </w:pPr>
            <w:r w:rsidRPr="00552E3D">
              <w:br w:type="page"/>
            </w:r>
            <w:r w:rsidRPr="00552E3D">
              <w:rPr>
                <w:b/>
                <w:bCs/>
                <w:sz w:val="24"/>
                <w:szCs w:val="24"/>
                <w:u w:val="single"/>
              </w:rPr>
              <w:t>Books Recommended</w:t>
            </w:r>
          </w:p>
          <w:p w:rsidR="00A4134F" w:rsidRPr="00552E3D" w:rsidRDefault="00A4134F" w:rsidP="00A4134F">
            <w:pPr>
              <w:numPr>
                <w:ilvl w:val="0"/>
                <w:numId w:val="5"/>
              </w:numPr>
              <w:tabs>
                <w:tab w:val="clear" w:pos="720"/>
                <w:tab w:val="num" w:pos="540"/>
              </w:tabs>
              <w:spacing w:after="0" w:line="240" w:lineRule="auto"/>
              <w:ind w:left="270" w:hanging="270"/>
              <w:jc w:val="both"/>
              <w:rPr>
                <w:rFonts w:cs="Arial"/>
                <w:sz w:val="24"/>
                <w:szCs w:val="24"/>
              </w:rPr>
            </w:pPr>
            <w:r w:rsidRPr="00552E3D">
              <w:rPr>
                <w:rFonts w:cs="Arial"/>
                <w:sz w:val="24"/>
                <w:szCs w:val="24"/>
              </w:rPr>
              <w:t xml:space="preserve">Beauvoir, Simone De (2007), </w:t>
            </w:r>
            <w:proofErr w:type="gramStart"/>
            <w:r w:rsidRPr="00552E3D">
              <w:rPr>
                <w:rFonts w:cs="Arial"/>
                <w:sz w:val="24"/>
                <w:szCs w:val="24"/>
              </w:rPr>
              <w:t>The</w:t>
            </w:r>
            <w:proofErr w:type="gramEnd"/>
            <w:r w:rsidRPr="00552E3D">
              <w:rPr>
                <w:rFonts w:cs="Arial"/>
                <w:sz w:val="24"/>
                <w:szCs w:val="24"/>
              </w:rPr>
              <w:t xml:space="preserve"> second Sex, Vintage.</w:t>
            </w:r>
          </w:p>
          <w:p w:rsidR="00A4134F" w:rsidRPr="00552E3D" w:rsidRDefault="00A4134F" w:rsidP="00A4134F">
            <w:pPr>
              <w:numPr>
                <w:ilvl w:val="0"/>
                <w:numId w:val="5"/>
              </w:numPr>
              <w:tabs>
                <w:tab w:val="clear" w:pos="720"/>
                <w:tab w:val="num" w:pos="540"/>
              </w:tabs>
              <w:spacing w:after="0" w:line="240" w:lineRule="auto"/>
              <w:ind w:left="270" w:hanging="270"/>
              <w:jc w:val="both"/>
              <w:rPr>
                <w:rFonts w:cs="Arial"/>
                <w:sz w:val="24"/>
                <w:szCs w:val="24"/>
              </w:rPr>
            </w:pPr>
            <w:proofErr w:type="spellStart"/>
            <w:r w:rsidRPr="00552E3D">
              <w:rPr>
                <w:rFonts w:cs="Arial"/>
                <w:sz w:val="24"/>
                <w:szCs w:val="24"/>
              </w:rPr>
              <w:t>Bornsterin</w:t>
            </w:r>
            <w:proofErr w:type="spellEnd"/>
            <w:r w:rsidRPr="00552E3D">
              <w:rPr>
                <w:rFonts w:cs="Arial"/>
                <w:sz w:val="24"/>
                <w:szCs w:val="24"/>
              </w:rPr>
              <w:t>, Kate (1995), Gender outlaw: on Men, Women and Rest of US, Vintage.</w:t>
            </w:r>
          </w:p>
          <w:p w:rsidR="00A4134F" w:rsidRPr="00552E3D" w:rsidRDefault="00A4134F" w:rsidP="00A4134F">
            <w:pPr>
              <w:numPr>
                <w:ilvl w:val="0"/>
                <w:numId w:val="5"/>
              </w:numPr>
              <w:tabs>
                <w:tab w:val="clear" w:pos="720"/>
                <w:tab w:val="num" w:pos="540"/>
              </w:tabs>
              <w:spacing w:after="0" w:line="240" w:lineRule="auto"/>
              <w:ind w:left="270" w:hanging="270"/>
              <w:jc w:val="both"/>
              <w:rPr>
                <w:rFonts w:cs="Arial"/>
                <w:sz w:val="24"/>
                <w:szCs w:val="24"/>
              </w:rPr>
            </w:pPr>
            <w:r w:rsidRPr="00552E3D">
              <w:rPr>
                <w:rFonts w:cs="Arial"/>
                <w:sz w:val="24"/>
                <w:szCs w:val="24"/>
              </w:rPr>
              <w:t>Butler, Judith (2004), Undoing Gender, Routledge.</w:t>
            </w:r>
          </w:p>
          <w:p w:rsidR="00A4134F" w:rsidRPr="00552E3D" w:rsidRDefault="00A4134F" w:rsidP="00A4134F">
            <w:pPr>
              <w:numPr>
                <w:ilvl w:val="0"/>
                <w:numId w:val="5"/>
              </w:numPr>
              <w:tabs>
                <w:tab w:val="clear" w:pos="720"/>
                <w:tab w:val="num" w:pos="540"/>
              </w:tabs>
              <w:spacing w:after="0" w:line="240" w:lineRule="auto"/>
              <w:ind w:left="270" w:hanging="270"/>
              <w:jc w:val="both"/>
              <w:rPr>
                <w:rFonts w:cs="Arial"/>
                <w:sz w:val="24"/>
                <w:szCs w:val="24"/>
              </w:rPr>
            </w:pPr>
            <w:r w:rsidRPr="00552E3D">
              <w:rPr>
                <w:rFonts w:cs="Arial"/>
                <w:sz w:val="24"/>
                <w:szCs w:val="24"/>
              </w:rPr>
              <w:t>Butler; Judith (2006), Gender Trouble: Feminism and the Subversion of Identity, Routledge.</w:t>
            </w:r>
          </w:p>
          <w:p w:rsidR="00A4134F" w:rsidRPr="00552E3D" w:rsidRDefault="00A4134F" w:rsidP="00A4134F">
            <w:pPr>
              <w:numPr>
                <w:ilvl w:val="0"/>
                <w:numId w:val="5"/>
              </w:numPr>
              <w:tabs>
                <w:tab w:val="clear" w:pos="720"/>
                <w:tab w:val="num" w:pos="540"/>
              </w:tabs>
              <w:spacing w:after="0" w:line="240" w:lineRule="auto"/>
              <w:ind w:left="270" w:hanging="270"/>
              <w:jc w:val="both"/>
              <w:rPr>
                <w:rFonts w:cs="Arial"/>
                <w:sz w:val="24"/>
                <w:szCs w:val="24"/>
              </w:rPr>
            </w:pPr>
            <w:proofErr w:type="spellStart"/>
            <w:r w:rsidRPr="00552E3D">
              <w:rPr>
                <w:rFonts w:cs="Arial"/>
                <w:sz w:val="24"/>
                <w:szCs w:val="24"/>
              </w:rPr>
              <w:t>Faucault</w:t>
            </w:r>
            <w:proofErr w:type="spellEnd"/>
            <w:r w:rsidRPr="00552E3D">
              <w:rPr>
                <w:rFonts w:cs="Arial"/>
                <w:sz w:val="24"/>
                <w:szCs w:val="24"/>
              </w:rPr>
              <w:t xml:space="preserve">, </w:t>
            </w:r>
            <w:proofErr w:type="spellStart"/>
            <w:r w:rsidRPr="00552E3D">
              <w:rPr>
                <w:rFonts w:cs="Arial"/>
                <w:sz w:val="24"/>
                <w:szCs w:val="24"/>
              </w:rPr>
              <w:t>Michcl</w:t>
            </w:r>
            <w:proofErr w:type="spellEnd"/>
            <w:r w:rsidRPr="00552E3D">
              <w:rPr>
                <w:rFonts w:cs="Arial"/>
                <w:sz w:val="24"/>
                <w:szCs w:val="24"/>
              </w:rPr>
              <w:t xml:space="preserve"> (1990), the History of Sexuality: An introduction, Vintage.</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r w:rsidRPr="00552E3D">
              <w:rPr>
                <w:rFonts w:cs="Arial"/>
                <w:sz w:val="24"/>
                <w:szCs w:val="24"/>
              </w:rPr>
              <w:lastRenderedPageBreak/>
              <w:t xml:space="preserve">Jane </w:t>
            </w:r>
            <w:proofErr w:type="spellStart"/>
            <w:r w:rsidRPr="00552E3D">
              <w:rPr>
                <w:rFonts w:cs="Arial"/>
                <w:sz w:val="24"/>
                <w:szCs w:val="24"/>
              </w:rPr>
              <w:t>Pilcher</w:t>
            </w:r>
            <w:proofErr w:type="spellEnd"/>
            <w:r w:rsidRPr="00552E3D">
              <w:rPr>
                <w:rFonts w:cs="Arial"/>
                <w:sz w:val="24"/>
                <w:szCs w:val="24"/>
              </w:rPr>
              <w:t>, (2008) 50 Key Concepts in Gender Studies, Sage Publication New Delhi</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r w:rsidRPr="00552E3D">
              <w:rPr>
                <w:rFonts w:cs="Arial"/>
                <w:sz w:val="24"/>
                <w:szCs w:val="24"/>
              </w:rPr>
              <w:t xml:space="preserve">Jasmin </w:t>
            </w:r>
            <w:proofErr w:type="spellStart"/>
            <w:r w:rsidRPr="00552E3D">
              <w:rPr>
                <w:rFonts w:cs="Arial"/>
                <w:sz w:val="24"/>
                <w:szCs w:val="24"/>
              </w:rPr>
              <w:t>Mirza</w:t>
            </w:r>
            <w:proofErr w:type="spellEnd"/>
            <w:r w:rsidRPr="00552E3D">
              <w:rPr>
                <w:rFonts w:cs="Arial"/>
                <w:sz w:val="24"/>
                <w:szCs w:val="24"/>
              </w:rPr>
              <w:t xml:space="preserve">. 2002. between </w:t>
            </w:r>
            <w:proofErr w:type="spellStart"/>
            <w:r w:rsidRPr="00552E3D">
              <w:rPr>
                <w:rFonts w:cs="Arial"/>
                <w:sz w:val="24"/>
                <w:szCs w:val="24"/>
              </w:rPr>
              <w:t>Chadar</w:t>
            </w:r>
            <w:proofErr w:type="spellEnd"/>
            <w:r w:rsidRPr="00552E3D">
              <w:rPr>
                <w:rFonts w:cs="Arial"/>
                <w:sz w:val="24"/>
                <w:szCs w:val="24"/>
              </w:rPr>
              <w:t xml:space="preserve"> and the Market. Oxford </w:t>
            </w:r>
            <w:proofErr w:type="spellStart"/>
            <w:r w:rsidRPr="00552E3D">
              <w:rPr>
                <w:rFonts w:cs="Arial"/>
                <w:sz w:val="24"/>
                <w:szCs w:val="24"/>
              </w:rPr>
              <w:t>UniversityPress</w:t>
            </w:r>
            <w:proofErr w:type="spellEnd"/>
            <w:r w:rsidRPr="00552E3D">
              <w:rPr>
                <w:rFonts w:cs="Arial"/>
                <w:sz w:val="24"/>
                <w:szCs w:val="24"/>
              </w:rPr>
              <w:t>. Karachi.</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r w:rsidRPr="00552E3D">
              <w:rPr>
                <w:rFonts w:cs="Arial"/>
                <w:sz w:val="24"/>
                <w:szCs w:val="24"/>
              </w:rPr>
              <w:t>Johan Z Spade, (2008) The Kaleidoscope of Gender, Sage Publication New Delhi;</w:t>
            </w:r>
          </w:p>
          <w:p w:rsidR="00A4134F" w:rsidRPr="00552E3D" w:rsidRDefault="00A4134F" w:rsidP="00A4134F">
            <w:pPr>
              <w:widowControl w:val="0"/>
              <w:numPr>
                <w:ilvl w:val="0"/>
                <w:numId w:val="5"/>
              </w:numPr>
              <w:shd w:val="clear" w:color="auto" w:fill="FFFFFF"/>
              <w:tabs>
                <w:tab w:val="clear" w:pos="720"/>
                <w:tab w:val="num" w:pos="540"/>
              </w:tabs>
              <w:autoSpaceDE w:val="0"/>
              <w:autoSpaceDN w:val="0"/>
              <w:adjustRightInd w:val="0"/>
              <w:spacing w:before="5" w:after="0" w:line="307" w:lineRule="exact"/>
              <w:ind w:left="270" w:hanging="270"/>
              <w:rPr>
                <w:rFonts w:cs="Arial"/>
                <w:color w:val="000000"/>
                <w:sz w:val="24"/>
                <w:szCs w:val="24"/>
              </w:rPr>
            </w:pPr>
            <w:r w:rsidRPr="00552E3D">
              <w:rPr>
                <w:rFonts w:cs="Arial"/>
                <w:color w:val="000000"/>
                <w:spacing w:val="-1"/>
                <w:sz w:val="24"/>
                <w:szCs w:val="24"/>
              </w:rPr>
              <w:t>Kapadia, K. (2002). The Violence of Development. London, Zed Books.</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r w:rsidRPr="00552E3D">
              <w:rPr>
                <w:rFonts w:cs="Arial"/>
                <w:sz w:val="24"/>
                <w:szCs w:val="24"/>
              </w:rPr>
              <w:t xml:space="preserve">Kathy Davis, Mary S Evans &amp; Judith </w:t>
            </w:r>
            <w:proofErr w:type="spellStart"/>
            <w:r w:rsidRPr="00552E3D">
              <w:rPr>
                <w:rFonts w:cs="Arial"/>
                <w:sz w:val="24"/>
                <w:szCs w:val="24"/>
              </w:rPr>
              <w:t>Lorber</w:t>
            </w:r>
            <w:proofErr w:type="spellEnd"/>
            <w:r w:rsidRPr="00552E3D">
              <w:rPr>
                <w:rFonts w:cs="Arial"/>
                <w:sz w:val="24"/>
                <w:szCs w:val="24"/>
              </w:rPr>
              <w:t>, (2008) Handbook of Gender and Women’s Studies Sage Publication New Delhi;</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r w:rsidRPr="00552E3D">
              <w:rPr>
                <w:rFonts w:cs="Arial"/>
                <w:sz w:val="24"/>
                <w:szCs w:val="24"/>
              </w:rPr>
              <w:t xml:space="preserve">Mary Holmes, (2008) </w:t>
            </w:r>
            <w:proofErr w:type="gramStart"/>
            <w:r w:rsidRPr="00552E3D">
              <w:rPr>
                <w:rFonts w:cs="Arial"/>
                <w:sz w:val="24"/>
                <w:szCs w:val="24"/>
              </w:rPr>
              <w:t>What</w:t>
            </w:r>
            <w:proofErr w:type="gramEnd"/>
            <w:r w:rsidRPr="00552E3D">
              <w:rPr>
                <w:rFonts w:cs="Arial"/>
                <w:sz w:val="24"/>
                <w:szCs w:val="24"/>
              </w:rPr>
              <w:t xml:space="preserve"> is Gender? (Sociological Approaches) Sage Publication New Delhi;</w:t>
            </w:r>
          </w:p>
          <w:p w:rsidR="00A4134F" w:rsidRPr="00552E3D" w:rsidRDefault="00A4134F" w:rsidP="00A4134F">
            <w:pPr>
              <w:numPr>
                <w:ilvl w:val="0"/>
                <w:numId w:val="5"/>
              </w:numPr>
              <w:tabs>
                <w:tab w:val="clear" w:pos="720"/>
                <w:tab w:val="num" w:pos="540"/>
              </w:tabs>
              <w:spacing w:after="0" w:line="240" w:lineRule="auto"/>
              <w:ind w:left="270" w:hanging="270"/>
              <w:jc w:val="both"/>
              <w:rPr>
                <w:rFonts w:cs="Arial"/>
                <w:sz w:val="24"/>
                <w:szCs w:val="24"/>
              </w:rPr>
            </w:pPr>
            <w:r w:rsidRPr="00552E3D">
              <w:rPr>
                <w:rFonts w:cs="Arial"/>
                <w:sz w:val="24"/>
                <w:szCs w:val="24"/>
              </w:rPr>
              <w:t>Mead, Margaret (2001), Male and Female, Harper Perennial.</w:t>
            </w:r>
          </w:p>
          <w:p w:rsidR="00A4134F" w:rsidRPr="00552E3D" w:rsidRDefault="00A4134F" w:rsidP="00A4134F">
            <w:pPr>
              <w:widowControl w:val="0"/>
              <w:numPr>
                <w:ilvl w:val="0"/>
                <w:numId w:val="5"/>
              </w:numPr>
              <w:shd w:val="clear" w:color="auto" w:fill="FFFFFF"/>
              <w:tabs>
                <w:tab w:val="clear" w:pos="720"/>
                <w:tab w:val="num" w:pos="540"/>
              </w:tabs>
              <w:autoSpaceDE w:val="0"/>
              <w:autoSpaceDN w:val="0"/>
              <w:adjustRightInd w:val="0"/>
              <w:spacing w:before="5" w:after="0" w:line="307" w:lineRule="exact"/>
              <w:ind w:left="270" w:hanging="270"/>
              <w:rPr>
                <w:rFonts w:cs="Arial"/>
                <w:color w:val="000000"/>
                <w:sz w:val="24"/>
                <w:szCs w:val="24"/>
              </w:rPr>
            </w:pPr>
            <w:proofErr w:type="spellStart"/>
            <w:r w:rsidRPr="00552E3D">
              <w:rPr>
                <w:rFonts w:cs="Arial"/>
                <w:color w:val="000000"/>
                <w:spacing w:val="-3"/>
                <w:sz w:val="24"/>
                <w:szCs w:val="24"/>
              </w:rPr>
              <w:t>Radtke</w:t>
            </w:r>
            <w:proofErr w:type="spellEnd"/>
            <w:r w:rsidRPr="00552E3D">
              <w:rPr>
                <w:rFonts w:cs="Arial"/>
                <w:color w:val="000000"/>
                <w:spacing w:val="-3"/>
                <w:sz w:val="24"/>
                <w:szCs w:val="24"/>
              </w:rPr>
              <w:t xml:space="preserve">, </w:t>
            </w:r>
            <w:proofErr w:type="spellStart"/>
            <w:r w:rsidRPr="00552E3D">
              <w:rPr>
                <w:rFonts w:cs="Arial"/>
                <w:color w:val="000000"/>
                <w:spacing w:val="-3"/>
                <w:sz w:val="24"/>
                <w:szCs w:val="24"/>
              </w:rPr>
              <w:t>H.Lorraine</w:t>
            </w:r>
            <w:proofErr w:type="spellEnd"/>
            <w:r w:rsidRPr="00552E3D">
              <w:rPr>
                <w:rFonts w:cs="Arial"/>
                <w:color w:val="000000"/>
                <w:spacing w:val="-3"/>
                <w:sz w:val="24"/>
                <w:szCs w:val="24"/>
              </w:rPr>
              <w:t xml:space="preserve"> and </w:t>
            </w:r>
            <w:proofErr w:type="spellStart"/>
            <w:r w:rsidRPr="00552E3D">
              <w:rPr>
                <w:rFonts w:cs="Arial"/>
                <w:color w:val="000000"/>
                <w:spacing w:val="-3"/>
                <w:sz w:val="24"/>
                <w:szCs w:val="24"/>
              </w:rPr>
              <w:t>Henderikus</w:t>
            </w:r>
            <w:proofErr w:type="spellEnd"/>
            <w:r w:rsidRPr="00552E3D">
              <w:rPr>
                <w:rFonts w:cs="Arial"/>
                <w:color w:val="000000"/>
                <w:spacing w:val="-3"/>
                <w:sz w:val="24"/>
                <w:szCs w:val="24"/>
              </w:rPr>
              <w:t xml:space="preserve"> J. </w:t>
            </w:r>
            <w:proofErr w:type="spellStart"/>
            <w:r w:rsidRPr="00552E3D">
              <w:rPr>
                <w:rFonts w:cs="Arial"/>
                <w:color w:val="000000"/>
                <w:spacing w:val="-3"/>
                <w:sz w:val="24"/>
                <w:szCs w:val="24"/>
              </w:rPr>
              <w:t>Stam</w:t>
            </w:r>
            <w:proofErr w:type="spellEnd"/>
            <w:r w:rsidRPr="00552E3D">
              <w:rPr>
                <w:rFonts w:cs="Arial"/>
                <w:color w:val="000000"/>
                <w:spacing w:val="-3"/>
                <w:sz w:val="24"/>
                <w:szCs w:val="24"/>
              </w:rPr>
              <w:t xml:space="preserve"> 1994-95. Power and </w:t>
            </w:r>
            <w:proofErr w:type="spellStart"/>
            <w:r w:rsidRPr="00552E3D">
              <w:rPr>
                <w:rFonts w:cs="Arial"/>
                <w:color w:val="000000"/>
                <w:spacing w:val="-3"/>
                <w:sz w:val="24"/>
                <w:szCs w:val="24"/>
              </w:rPr>
              <w:t>Gender.</w:t>
            </w:r>
            <w:r w:rsidRPr="00552E3D">
              <w:rPr>
                <w:rFonts w:cs="Arial"/>
                <w:color w:val="000000"/>
                <w:spacing w:val="-1"/>
                <w:sz w:val="24"/>
                <w:szCs w:val="24"/>
              </w:rPr>
              <w:t>Sage</w:t>
            </w:r>
            <w:proofErr w:type="spellEnd"/>
            <w:r w:rsidRPr="00552E3D">
              <w:rPr>
                <w:rFonts w:cs="Arial"/>
                <w:color w:val="000000"/>
                <w:spacing w:val="-1"/>
                <w:sz w:val="24"/>
                <w:szCs w:val="24"/>
              </w:rPr>
              <w:t xml:space="preserve"> Publication, London.</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r w:rsidRPr="00552E3D">
              <w:rPr>
                <w:rFonts w:cs="Arial"/>
                <w:sz w:val="24"/>
                <w:szCs w:val="24"/>
              </w:rPr>
              <w:t xml:space="preserve">Ronnie </w:t>
            </w:r>
            <w:proofErr w:type="spellStart"/>
            <w:r w:rsidRPr="00552E3D">
              <w:rPr>
                <w:rFonts w:cs="Arial"/>
                <w:sz w:val="24"/>
                <w:szCs w:val="24"/>
              </w:rPr>
              <w:t>Vernooy</w:t>
            </w:r>
            <w:proofErr w:type="spellEnd"/>
            <w:r w:rsidRPr="00552E3D">
              <w:rPr>
                <w:rFonts w:cs="Arial"/>
                <w:sz w:val="24"/>
                <w:szCs w:val="24"/>
              </w:rPr>
              <w:t xml:space="preserve"> (2008) Social and Gender Analysis in Natural Resource Management, Sage Publication New Delhi; </w:t>
            </w:r>
          </w:p>
          <w:p w:rsidR="00A4134F" w:rsidRPr="00552E3D" w:rsidRDefault="00A4134F" w:rsidP="00A4134F">
            <w:pPr>
              <w:widowControl w:val="0"/>
              <w:numPr>
                <w:ilvl w:val="0"/>
                <w:numId w:val="5"/>
              </w:numPr>
              <w:shd w:val="clear" w:color="auto" w:fill="FFFFFF"/>
              <w:tabs>
                <w:tab w:val="clear" w:pos="720"/>
                <w:tab w:val="num" w:pos="540"/>
              </w:tabs>
              <w:autoSpaceDE w:val="0"/>
              <w:autoSpaceDN w:val="0"/>
              <w:adjustRightInd w:val="0"/>
              <w:spacing w:before="5" w:after="0" w:line="307" w:lineRule="exact"/>
              <w:ind w:left="270" w:hanging="270"/>
              <w:rPr>
                <w:rFonts w:cs="Arial"/>
                <w:color w:val="000000"/>
                <w:sz w:val="24"/>
                <w:szCs w:val="24"/>
              </w:rPr>
            </w:pPr>
            <w:proofErr w:type="spellStart"/>
            <w:r w:rsidRPr="00552E3D">
              <w:rPr>
                <w:rFonts w:cs="Arial"/>
                <w:color w:val="000000"/>
                <w:spacing w:val="-2"/>
                <w:sz w:val="24"/>
                <w:szCs w:val="24"/>
              </w:rPr>
              <w:t>Shaista</w:t>
            </w:r>
            <w:proofErr w:type="spellEnd"/>
            <w:r w:rsidRPr="00552E3D">
              <w:rPr>
                <w:rFonts w:cs="Arial"/>
                <w:color w:val="000000"/>
                <w:spacing w:val="-2"/>
                <w:sz w:val="24"/>
                <w:szCs w:val="24"/>
              </w:rPr>
              <w:t xml:space="preserve">, </w:t>
            </w:r>
            <w:proofErr w:type="spellStart"/>
            <w:r w:rsidRPr="00552E3D">
              <w:rPr>
                <w:rFonts w:cs="Arial"/>
                <w:color w:val="000000"/>
                <w:spacing w:val="-2"/>
                <w:sz w:val="24"/>
                <w:szCs w:val="24"/>
              </w:rPr>
              <w:t>Ikramullah</w:t>
            </w:r>
            <w:proofErr w:type="spellEnd"/>
            <w:r w:rsidRPr="00552E3D">
              <w:rPr>
                <w:rFonts w:cs="Arial"/>
                <w:color w:val="000000"/>
                <w:spacing w:val="-2"/>
                <w:sz w:val="24"/>
                <w:szCs w:val="24"/>
              </w:rPr>
              <w:t xml:space="preserve">, 2000, From Purdah to Parliament. Oxford University </w:t>
            </w:r>
            <w:r w:rsidRPr="00552E3D">
              <w:rPr>
                <w:rFonts w:cs="Arial"/>
                <w:color w:val="000000"/>
                <w:spacing w:val="2"/>
                <w:sz w:val="24"/>
                <w:szCs w:val="24"/>
              </w:rPr>
              <w:t>Press, Karachi.</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proofErr w:type="spellStart"/>
            <w:r w:rsidRPr="00552E3D">
              <w:rPr>
                <w:rFonts w:cs="Arial"/>
                <w:sz w:val="24"/>
                <w:szCs w:val="24"/>
              </w:rPr>
              <w:t>Sharlene</w:t>
            </w:r>
            <w:proofErr w:type="spellEnd"/>
            <w:r w:rsidRPr="00552E3D">
              <w:rPr>
                <w:rFonts w:cs="Arial"/>
                <w:sz w:val="24"/>
                <w:szCs w:val="24"/>
              </w:rPr>
              <w:t xml:space="preserve"> Nagy </w:t>
            </w:r>
            <w:proofErr w:type="spellStart"/>
            <w:r w:rsidRPr="00552E3D">
              <w:rPr>
                <w:rFonts w:cs="Arial"/>
                <w:sz w:val="24"/>
                <w:szCs w:val="24"/>
              </w:rPr>
              <w:t>Hosse</w:t>
            </w:r>
            <w:proofErr w:type="spellEnd"/>
            <w:r w:rsidRPr="00552E3D">
              <w:rPr>
                <w:rFonts w:cs="Arial"/>
                <w:sz w:val="24"/>
                <w:szCs w:val="24"/>
              </w:rPr>
              <w:t xml:space="preserve"> </w:t>
            </w:r>
            <w:proofErr w:type="spellStart"/>
            <w:r w:rsidRPr="00552E3D">
              <w:rPr>
                <w:rFonts w:cs="Arial"/>
                <w:sz w:val="24"/>
                <w:szCs w:val="24"/>
              </w:rPr>
              <w:t>Biber</w:t>
            </w:r>
            <w:proofErr w:type="spellEnd"/>
            <w:r w:rsidRPr="00552E3D">
              <w:rPr>
                <w:rFonts w:cs="Arial"/>
                <w:sz w:val="24"/>
                <w:szCs w:val="24"/>
              </w:rPr>
              <w:t xml:space="preserve"> (2008) Handbook of Feminist Research Sage Publication New </w:t>
            </w:r>
            <w:proofErr w:type="spellStart"/>
            <w:r w:rsidRPr="00552E3D">
              <w:rPr>
                <w:rFonts w:cs="Arial"/>
                <w:sz w:val="24"/>
                <w:szCs w:val="24"/>
              </w:rPr>
              <w:t>Delh</w:t>
            </w:r>
            <w:proofErr w:type="spellEnd"/>
            <w:r w:rsidRPr="00552E3D">
              <w:rPr>
                <w:rFonts w:cs="Arial"/>
                <w:sz w:val="24"/>
                <w:szCs w:val="24"/>
              </w:rPr>
              <w:t>.</w:t>
            </w:r>
          </w:p>
          <w:p w:rsidR="00A4134F" w:rsidRPr="00552E3D" w:rsidRDefault="00A4134F" w:rsidP="00A4134F">
            <w:pPr>
              <w:numPr>
                <w:ilvl w:val="0"/>
                <w:numId w:val="5"/>
              </w:numPr>
              <w:tabs>
                <w:tab w:val="clear" w:pos="720"/>
                <w:tab w:val="num" w:pos="540"/>
              </w:tabs>
              <w:spacing w:after="0" w:line="240" w:lineRule="auto"/>
              <w:ind w:left="270" w:hanging="270"/>
              <w:rPr>
                <w:rFonts w:cs="Arial"/>
                <w:sz w:val="24"/>
                <w:szCs w:val="24"/>
              </w:rPr>
            </w:pPr>
            <w:proofErr w:type="spellStart"/>
            <w:r w:rsidRPr="00552E3D">
              <w:rPr>
                <w:rFonts w:cs="Arial"/>
                <w:sz w:val="24"/>
                <w:szCs w:val="24"/>
              </w:rPr>
              <w:t>Sharmila</w:t>
            </w:r>
            <w:proofErr w:type="spellEnd"/>
            <w:r w:rsidRPr="00552E3D">
              <w:rPr>
                <w:rFonts w:cs="Arial"/>
                <w:sz w:val="24"/>
                <w:szCs w:val="24"/>
              </w:rPr>
              <w:t xml:space="preserve"> </w:t>
            </w:r>
            <w:proofErr w:type="spellStart"/>
            <w:r w:rsidRPr="00552E3D">
              <w:rPr>
                <w:rFonts w:cs="Arial"/>
                <w:sz w:val="24"/>
                <w:szCs w:val="24"/>
              </w:rPr>
              <w:t>Rege</w:t>
            </w:r>
            <w:proofErr w:type="spellEnd"/>
            <w:r w:rsidRPr="00552E3D">
              <w:rPr>
                <w:rFonts w:cs="Arial"/>
                <w:sz w:val="24"/>
                <w:szCs w:val="24"/>
              </w:rPr>
              <w:t>, (2008) Sociology of Sender ( The Challenge of Feminist Sociology knowledge) Sage Publication New Delhi;</w:t>
            </w:r>
          </w:p>
          <w:p w:rsidR="00A4134F" w:rsidRPr="00552E3D" w:rsidRDefault="00A4134F" w:rsidP="00A4134F">
            <w:pPr>
              <w:widowControl w:val="0"/>
              <w:numPr>
                <w:ilvl w:val="0"/>
                <w:numId w:val="5"/>
              </w:numPr>
              <w:shd w:val="clear" w:color="auto" w:fill="FFFFFF"/>
              <w:tabs>
                <w:tab w:val="clear" w:pos="720"/>
                <w:tab w:val="num" w:pos="540"/>
              </w:tabs>
              <w:autoSpaceDE w:val="0"/>
              <w:autoSpaceDN w:val="0"/>
              <w:adjustRightInd w:val="0"/>
              <w:spacing w:before="5" w:after="0" w:line="307" w:lineRule="exact"/>
              <w:ind w:left="270" w:hanging="270"/>
              <w:rPr>
                <w:rFonts w:cs="Arial"/>
                <w:color w:val="000000"/>
                <w:sz w:val="24"/>
                <w:szCs w:val="24"/>
              </w:rPr>
            </w:pPr>
            <w:proofErr w:type="spellStart"/>
            <w:r w:rsidRPr="00552E3D">
              <w:rPr>
                <w:rFonts w:cs="Arial"/>
                <w:color w:val="000000"/>
                <w:spacing w:val="-2"/>
                <w:sz w:val="24"/>
                <w:szCs w:val="24"/>
              </w:rPr>
              <w:t>Sharukh</w:t>
            </w:r>
            <w:proofErr w:type="spellEnd"/>
            <w:r w:rsidRPr="00552E3D">
              <w:rPr>
                <w:rFonts w:cs="Arial"/>
                <w:color w:val="000000"/>
                <w:spacing w:val="-2"/>
                <w:sz w:val="24"/>
                <w:szCs w:val="24"/>
              </w:rPr>
              <w:t xml:space="preserve"> </w:t>
            </w:r>
            <w:proofErr w:type="spellStart"/>
            <w:r w:rsidRPr="00552E3D">
              <w:rPr>
                <w:rFonts w:cs="Arial"/>
                <w:color w:val="000000"/>
                <w:spacing w:val="-2"/>
                <w:sz w:val="24"/>
                <w:szCs w:val="24"/>
              </w:rPr>
              <w:t>Rafiq</w:t>
            </w:r>
            <w:proofErr w:type="spellEnd"/>
            <w:r w:rsidRPr="00552E3D">
              <w:rPr>
                <w:rFonts w:cs="Arial"/>
                <w:color w:val="000000"/>
                <w:spacing w:val="-2"/>
                <w:sz w:val="24"/>
                <w:szCs w:val="24"/>
              </w:rPr>
              <w:t xml:space="preserve">. 2000. 50 years of Pakistan's Economy. Oxford University </w:t>
            </w:r>
            <w:r w:rsidRPr="00552E3D">
              <w:rPr>
                <w:rFonts w:cs="Arial"/>
                <w:color w:val="000000"/>
                <w:spacing w:val="-7"/>
                <w:sz w:val="24"/>
                <w:szCs w:val="24"/>
              </w:rPr>
              <w:t>Press.</w:t>
            </w:r>
          </w:p>
          <w:p w:rsidR="00A4134F" w:rsidRPr="00552E3D" w:rsidRDefault="00A4134F" w:rsidP="00A4134F">
            <w:pPr>
              <w:widowControl w:val="0"/>
              <w:numPr>
                <w:ilvl w:val="0"/>
                <w:numId w:val="5"/>
              </w:numPr>
              <w:shd w:val="clear" w:color="auto" w:fill="FFFFFF"/>
              <w:tabs>
                <w:tab w:val="clear" w:pos="720"/>
                <w:tab w:val="num" w:pos="540"/>
              </w:tabs>
              <w:autoSpaceDE w:val="0"/>
              <w:autoSpaceDN w:val="0"/>
              <w:adjustRightInd w:val="0"/>
              <w:spacing w:after="0" w:line="307" w:lineRule="exact"/>
              <w:ind w:left="270" w:right="576" w:hanging="270"/>
              <w:rPr>
                <w:rFonts w:cs="Arial"/>
                <w:color w:val="000000"/>
                <w:sz w:val="24"/>
                <w:szCs w:val="24"/>
              </w:rPr>
            </w:pPr>
            <w:r w:rsidRPr="00552E3D">
              <w:rPr>
                <w:rFonts w:cs="Arial"/>
                <w:color w:val="000000"/>
                <w:spacing w:val="-3"/>
                <w:sz w:val="24"/>
                <w:szCs w:val="24"/>
              </w:rPr>
              <w:t xml:space="preserve">Social Policy and Development Centre (2000). Social Development in </w:t>
            </w:r>
            <w:r w:rsidRPr="00552E3D">
              <w:rPr>
                <w:rFonts w:cs="Arial"/>
                <w:color w:val="000000"/>
                <w:spacing w:val="-1"/>
                <w:sz w:val="24"/>
                <w:szCs w:val="24"/>
              </w:rPr>
              <w:t>Pakistan. New York, Oxford University Press.</w:t>
            </w:r>
          </w:p>
        </w:tc>
      </w:tr>
    </w:tbl>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7F4"/>
    <w:multiLevelType w:val="hybridMultilevel"/>
    <w:tmpl w:val="B9A21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13C57"/>
    <w:multiLevelType w:val="hybridMultilevel"/>
    <w:tmpl w:val="21040DB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6347D4"/>
    <w:multiLevelType w:val="hybridMultilevel"/>
    <w:tmpl w:val="C5B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06C12"/>
    <w:multiLevelType w:val="hybridMultilevel"/>
    <w:tmpl w:val="5C4C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650A9"/>
    <w:multiLevelType w:val="hybridMultilevel"/>
    <w:tmpl w:val="472E18A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4F"/>
    <w:rsid w:val="00A373DA"/>
    <w:rsid w:val="00A4134F"/>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97AD0-A779-4B25-B4CD-6F4EE906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34F"/>
    <w:pPr>
      <w:spacing w:after="200" w:line="276" w:lineRule="auto"/>
    </w:pPr>
  </w:style>
  <w:style w:type="paragraph" w:styleId="Heading2">
    <w:name w:val="heading 2"/>
    <w:basedOn w:val="Normal"/>
    <w:next w:val="Normal"/>
    <w:link w:val="Heading2Char"/>
    <w:uiPriority w:val="9"/>
    <w:qFormat/>
    <w:rsid w:val="00A4134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semiHidden/>
    <w:unhideWhenUsed/>
    <w:qFormat/>
    <w:rsid w:val="00A4134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34F"/>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
    <w:semiHidden/>
    <w:rsid w:val="00A4134F"/>
    <w:rPr>
      <w:rFonts w:asciiTheme="majorHAnsi" w:eastAsiaTheme="majorEastAsia" w:hAnsiTheme="majorHAnsi" w:cstheme="majorBidi"/>
      <w:b/>
      <w:bCs/>
      <w:color w:val="5B9BD5" w:themeColor="accent1"/>
    </w:rPr>
  </w:style>
  <w:style w:type="table" w:styleId="TableGrid">
    <w:name w:val="Table Grid"/>
    <w:basedOn w:val="TableNormal"/>
    <w:uiPriority w:val="59"/>
    <w:rsid w:val="00A41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134F"/>
    <w:pPr>
      <w:ind w:left="720"/>
      <w:contextualSpacing/>
    </w:pPr>
  </w:style>
  <w:style w:type="character" w:styleId="Hyperlink">
    <w:name w:val="Hyperlink"/>
    <w:basedOn w:val="DefaultParagraphFont"/>
    <w:rsid w:val="00A4134F"/>
    <w:rPr>
      <w:color w:val="0000FF"/>
      <w:u w:val="single"/>
    </w:rPr>
  </w:style>
  <w:style w:type="character" w:styleId="Strong">
    <w:name w:val="Strong"/>
    <w:basedOn w:val="DefaultParagraphFont"/>
    <w:uiPriority w:val="22"/>
    <w:qFormat/>
    <w:rsid w:val="00A41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efse.at/Downloads/publikationen/foren/Forum3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2022-03-31T07:27:00Z</dcterms:created>
  <dcterms:modified xsi:type="dcterms:W3CDTF">2022-03-31T07:44:00Z</dcterms:modified>
</cp:coreProperties>
</file>