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D0" w:rsidRPr="006753E3" w:rsidRDefault="007F56D0" w:rsidP="007F56D0">
      <w:pPr>
        <w:jc w:val="center"/>
        <w:rPr>
          <w:b/>
          <w:sz w:val="44"/>
        </w:rPr>
      </w:pPr>
      <w:r w:rsidRPr="006753E3">
        <w:rPr>
          <w:b/>
          <w:sz w:val="44"/>
        </w:rPr>
        <w:t>SOCIOLOGY OF KINSHIP &amp; FAMILY</w:t>
      </w:r>
    </w:p>
    <w:p w:rsidR="007F56D0" w:rsidRDefault="007F56D0" w:rsidP="007F56D0">
      <w:pPr>
        <w:spacing w:after="0" w:line="240" w:lineRule="auto"/>
        <w:rPr>
          <w:b/>
        </w:rPr>
      </w:pPr>
    </w:p>
    <w:p w:rsidR="007F56D0" w:rsidRPr="00DC0807" w:rsidRDefault="007F56D0" w:rsidP="007F56D0">
      <w:pPr>
        <w:spacing w:after="0" w:line="240" w:lineRule="auto"/>
      </w:pPr>
      <w:bookmarkStart w:id="0" w:name="_GoBack"/>
      <w:bookmarkEnd w:id="0"/>
    </w:p>
    <w:p w:rsidR="007F56D0" w:rsidRPr="006753E3" w:rsidRDefault="007F56D0" w:rsidP="007F56D0">
      <w:pPr>
        <w:pStyle w:val="Heading3"/>
        <w:spacing w:after="120" w:line="360" w:lineRule="auto"/>
        <w:rPr>
          <w:rFonts w:asciiTheme="minorHAnsi" w:hAnsiTheme="minorHAnsi" w:cs="Times New Roman"/>
          <w:color w:val="000000" w:themeColor="text1"/>
          <w:sz w:val="24"/>
          <w:szCs w:val="24"/>
        </w:rPr>
      </w:pPr>
      <w:r w:rsidRPr="006753E3">
        <w:rPr>
          <w:rFonts w:asciiTheme="minorHAnsi" w:hAnsiTheme="minorHAnsi" w:cs="Times New Roman"/>
          <w:color w:val="000000" w:themeColor="text1"/>
          <w:sz w:val="24"/>
          <w:szCs w:val="24"/>
        </w:rPr>
        <w:t>Sociology of the Family</w:t>
      </w:r>
    </w:p>
    <w:p w:rsidR="007F56D0" w:rsidRPr="006753E3" w:rsidRDefault="007F56D0" w:rsidP="007F56D0">
      <w:pPr>
        <w:spacing w:line="360" w:lineRule="auto"/>
        <w:jc w:val="both"/>
        <w:rPr>
          <w:rFonts w:cs="Times New Roman"/>
          <w:color w:val="000000" w:themeColor="text1"/>
          <w:sz w:val="24"/>
          <w:szCs w:val="24"/>
        </w:rPr>
      </w:pPr>
      <w:r w:rsidRPr="006753E3">
        <w:rPr>
          <w:rFonts w:cs="Times New Roman"/>
          <w:color w:val="000000" w:themeColor="text1"/>
          <w:sz w:val="24"/>
          <w:szCs w:val="24"/>
        </w:rPr>
        <w:t>This course presents the social and cultural forces that have implications for the formation and maintenance of social relationships with special attention to marriage and family forms and functioning. Additionally, the course will compare social/cultural patterns and implications for individuals, groups, and society. The course includes (but is not limiited to) a focus on social aspects of relationship formation (mate selection), familial roles, parental roles, sexuality, gender and the life cycle.</w:t>
      </w:r>
    </w:p>
    <w:p w:rsidR="007F56D0" w:rsidRPr="006753E3" w:rsidRDefault="007F56D0" w:rsidP="007F56D0">
      <w:pPr>
        <w:spacing w:line="360" w:lineRule="auto"/>
        <w:jc w:val="both"/>
        <w:rPr>
          <w:rFonts w:cs="Times New Roman"/>
          <w:color w:val="000000" w:themeColor="text1"/>
          <w:sz w:val="24"/>
          <w:szCs w:val="24"/>
        </w:rPr>
      </w:pPr>
    </w:p>
    <w:p w:rsidR="007F56D0" w:rsidRPr="006753E3" w:rsidRDefault="007F56D0" w:rsidP="007F56D0">
      <w:pPr>
        <w:rPr>
          <w:b/>
          <w:bCs/>
          <w:caps/>
        </w:rPr>
      </w:pPr>
      <w:r w:rsidRPr="006753E3">
        <w:rPr>
          <w:b/>
          <w:bCs/>
          <w:caps/>
        </w:rPr>
        <w:t>Grade breakup:</w:t>
      </w:r>
    </w:p>
    <w:p w:rsidR="007F56D0" w:rsidRPr="006753E3" w:rsidRDefault="007F56D0" w:rsidP="007F56D0">
      <w:r w:rsidRPr="006753E3">
        <w:tab/>
        <w:t>Class participation and attendance</w:t>
      </w:r>
      <w:r w:rsidRPr="006753E3">
        <w:tab/>
      </w:r>
      <w:r w:rsidRPr="006753E3">
        <w:tab/>
      </w:r>
      <w:r w:rsidRPr="006753E3">
        <w:tab/>
        <w:t>10%</w:t>
      </w:r>
    </w:p>
    <w:p w:rsidR="007F56D0" w:rsidRPr="006753E3" w:rsidRDefault="007F56D0" w:rsidP="007F56D0">
      <w:r w:rsidRPr="006753E3">
        <w:tab/>
        <w:t>Quizzes</w:t>
      </w:r>
      <w:r w:rsidRPr="006753E3">
        <w:tab/>
      </w:r>
      <w:r w:rsidRPr="006753E3">
        <w:tab/>
      </w:r>
      <w:r w:rsidRPr="006753E3">
        <w:tab/>
      </w:r>
      <w:r w:rsidRPr="006753E3">
        <w:tab/>
      </w:r>
      <w:r w:rsidRPr="006753E3">
        <w:tab/>
      </w:r>
      <w:r w:rsidRPr="006753E3">
        <w:tab/>
      </w:r>
      <w:r w:rsidRPr="006753E3">
        <w:tab/>
        <w:t>20%</w:t>
      </w:r>
    </w:p>
    <w:p w:rsidR="007F56D0" w:rsidRPr="006753E3" w:rsidRDefault="007F56D0" w:rsidP="007F56D0">
      <w:pPr>
        <w:ind w:firstLine="720"/>
      </w:pPr>
      <w:r w:rsidRPr="006753E3">
        <w:t>Mid-term exam</w:t>
      </w:r>
      <w:r w:rsidRPr="006753E3">
        <w:tab/>
      </w:r>
      <w:r w:rsidRPr="006753E3">
        <w:tab/>
      </w:r>
      <w:r w:rsidRPr="006753E3">
        <w:tab/>
      </w:r>
      <w:r w:rsidRPr="006753E3">
        <w:tab/>
      </w:r>
      <w:r w:rsidRPr="006753E3">
        <w:tab/>
      </w:r>
      <w:r w:rsidRPr="006753E3">
        <w:tab/>
        <w:t>30%</w:t>
      </w:r>
    </w:p>
    <w:p w:rsidR="007F56D0" w:rsidRPr="006753E3" w:rsidRDefault="007F56D0" w:rsidP="007F56D0">
      <w:pPr>
        <w:ind w:firstLine="720"/>
      </w:pPr>
      <w:r w:rsidRPr="006753E3">
        <w:t xml:space="preserve">Final Exam     </w:t>
      </w:r>
      <w:r w:rsidRPr="006753E3">
        <w:tab/>
      </w:r>
      <w:r w:rsidRPr="006753E3">
        <w:tab/>
      </w:r>
      <w:r w:rsidRPr="006753E3">
        <w:tab/>
      </w:r>
      <w:r w:rsidRPr="006753E3">
        <w:tab/>
      </w:r>
      <w:r w:rsidRPr="006753E3">
        <w:tab/>
      </w:r>
      <w:r w:rsidRPr="006753E3">
        <w:tab/>
        <w:t>40%</w:t>
      </w:r>
    </w:p>
    <w:p w:rsidR="007F56D0" w:rsidRPr="006753E3" w:rsidRDefault="007F56D0" w:rsidP="007F56D0">
      <w:pPr>
        <w:spacing w:line="360" w:lineRule="auto"/>
        <w:jc w:val="both"/>
        <w:rPr>
          <w:rFonts w:cs="Times New Roman"/>
          <w:color w:val="000000" w:themeColor="text1"/>
          <w:sz w:val="24"/>
          <w:szCs w:val="24"/>
        </w:rPr>
      </w:pP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1" w:name="Topic_1"/>
      <w:r w:rsidRPr="006753E3">
        <w:rPr>
          <w:rFonts w:asciiTheme="minorHAnsi" w:hAnsiTheme="minorHAnsi" w:cs="Times New Roman"/>
          <w:color w:val="000000" w:themeColor="text1"/>
          <w:sz w:val="24"/>
          <w:szCs w:val="24"/>
        </w:rPr>
        <w:t>Topic 1</w:t>
      </w:r>
      <w:bookmarkEnd w:id="1"/>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What is a family?</w:t>
      </w:r>
    </w:p>
    <w:p w:rsidR="007F56D0" w:rsidRPr="006753E3" w:rsidRDefault="007F56D0" w:rsidP="007F56D0">
      <w:pPr>
        <w:numPr>
          <w:ilvl w:val="0"/>
          <w:numId w:val="1"/>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The family as a social (and biological) institution.</w:t>
      </w:r>
    </w:p>
    <w:p w:rsidR="007F56D0" w:rsidRPr="006753E3" w:rsidRDefault="007F56D0" w:rsidP="007F56D0">
      <w:pPr>
        <w:numPr>
          <w:ilvl w:val="0"/>
          <w:numId w:val="1"/>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Theories of family development: conjugal kinship systems and the nuclear family.</w:t>
      </w:r>
    </w:p>
    <w:p w:rsidR="007F56D0" w:rsidRPr="006753E3" w:rsidRDefault="007F56D0" w:rsidP="007F56D0">
      <w:pPr>
        <w:numPr>
          <w:ilvl w:val="0"/>
          <w:numId w:val="1"/>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Alternative family and household forms.</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br/>
      </w:r>
      <w:r w:rsidRPr="006753E3">
        <w:rPr>
          <w:rStyle w:val="Emphasis"/>
          <w:rFonts w:asciiTheme="minorHAnsi" w:hAnsiTheme="minorHAnsi"/>
          <w:color w:val="000000" w:themeColor="text1"/>
        </w:rPr>
        <w:t>Library Reserve:</w:t>
      </w:r>
      <w:r w:rsidRPr="006753E3">
        <w:rPr>
          <w:rFonts w:asciiTheme="minorHAnsi" w:hAnsiTheme="minorHAnsi"/>
          <w:color w:val="000000" w:themeColor="text1"/>
        </w:rPr>
        <w:t xml:space="preserve"> S. Mintz, “New Rules: Post-War Families”; Tricarico, </w:t>
      </w:r>
      <w:r w:rsidRPr="006753E3">
        <w:rPr>
          <w:rFonts w:asciiTheme="minorHAnsi" w:hAnsiTheme="minorHAnsi"/>
          <w:color w:val="000000" w:themeColor="text1"/>
          <w:u w:val="single"/>
        </w:rPr>
        <w:t>The Italians of Greenwich Village</w:t>
      </w:r>
      <w:r w:rsidRPr="006753E3">
        <w:rPr>
          <w:rFonts w:asciiTheme="minorHAnsi" w:hAnsiTheme="minorHAnsi"/>
          <w:color w:val="000000" w:themeColor="text1"/>
        </w:rPr>
        <w:t xml:space="preserve"> (two chapters on the ethnic family).</w:t>
      </w:r>
      <w:r w:rsidRPr="006753E3">
        <w:rPr>
          <w:rFonts w:asciiTheme="minorHAnsi" w:hAnsiTheme="minorHAnsi"/>
          <w:color w:val="000000" w:themeColor="text1"/>
        </w:rPr>
        <w:br/>
      </w:r>
      <w:r w:rsidRPr="006753E3">
        <w:rPr>
          <w:rFonts w:asciiTheme="minorHAnsi" w:hAnsiTheme="minorHAnsi"/>
          <w:color w:val="000000" w:themeColor="text1"/>
        </w:rPr>
        <w:lastRenderedPageBreak/>
        <w:br/>
      </w:r>
      <w:r w:rsidRPr="006753E3">
        <w:rPr>
          <w:rStyle w:val="Emphasis"/>
          <w:rFonts w:asciiTheme="minorHAnsi" w:hAnsiTheme="minorHAnsi"/>
          <w:color w:val="000000" w:themeColor="text1"/>
        </w:rPr>
        <w:t>Kearl’s Guide to the Sociology of the Family:</w:t>
      </w:r>
      <w:r w:rsidRPr="006753E3">
        <w:rPr>
          <w:rFonts w:asciiTheme="minorHAnsi" w:hAnsiTheme="minorHAnsi"/>
          <w:color w:val="000000" w:themeColor="text1"/>
        </w:rPr>
        <w:t xml:space="preserve"> </w:t>
      </w:r>
      <w:hyperlink r:id="rId5" w:anchor="mm" w:tgtFrame="_blank" w:history="1">
        <w:r w:rsidRPr="006753E3">
          <w:rPr>
            <w:rStyle w:val="Hyperlink"/>
            <w:rFonts w:asciiTheme="minorHAnsi" w:hAnsiTheme="minorHAnsi"/>
            <w:color w:val="000000" w:themeColor="text1"/>
          </w:rPr>
          <w:t>http://www.trinity.edu/nmkearl/fam-inst.html#mm</w:t>
        </w:r>
      </w:hyperlink>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2" w:name="Topic_2"/>
      <w:r w:rsidRPr="006753E3">
        <w:rPr>
          <w:rFonts w:asciiTheme="minorHAnsi" w:hAnsiTheme="minorHAnsi" w:cs="Times New Roman"/>
          <w:color w:val="000000" w:themeColor="text1"/>
          <w:sz w:val="24"/>
          <w:szCs w:val="24"/>
        </w:rPr>
        <w:t>Topic 2</w:t>
      </w:r>
      <w:bookmarkEnd w:id="2"/>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The Demography of Living Arrangements in America</w:t>
      </w:r>
    </w:p>
    <w:p w:rsidR="007F56D0" w:rsidRPr="006753E3" w:rsidRDefault="007F56D0" w:rsidP="007F56D0">
      <w:pPr>
        <w:numPr>
          <w:ilvl w:val="0"/>
          <w:numId w:val="2"/>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Family households</w:t>
      </w:r>
    </w:p>
    <w:p w:rsidR="007F56D0" w:rsidRPr="006753E3" w:rsidRDefault="007F56D0" w:rsidP="007F56D0">
      <w:pPr>
        <w:numPr>
          <w:ilvl w:val="0"/>
          <w:numId w:val="2"/>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Nonfamily households</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Internet Lab</w:t>
      </w:r>
      <w:r w:rsidRPr="006753E3">
        <w:rPr>
          <w:rFonts w:asciiTheme="minorHAnsi" w:hAnsiTheme="minorHAnsi"/>
          <w:color w:val="000000" w:themeColor="text1"/>
        </w:rPr>
        <w:t xml:space="preserve">: Research data bases at </w:t>
      </w:r>
      <w:hyperlink r:id="rId6" w:tgtFrame="_blank" w:history="1">
        <w:r w:rsidRPr="006753E3">
          <w:rPr>
            <w:rStyle w:val="Hyperlink"/>
            <w:rFonts w:asciiTheme="minorHAnsi" w:hAnsiTheme="minorHAnsi"/>
            <w:color w:val="000000" w:themeColor="text1"/>
          </w:rPr>
          <w:t>http://www.uscensus.gov</w:t>
        </w:r>
      </w:hyperlink>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3" w:name="Topic_3"/>
      <w:r w:rsidRPr="006753E3">
        <w:rPr>
          <w:rFonts w:asciiTheme="minorHAnsi" w:hAnsiTheme="minorHAnsi" w:cs="Times New Roman"/>
          <w:color w:val="000000" w:themeColor="text1"/>
          <w:sz w:val="24"/>
          <w:szCs w:val="24"/>
        </w:rPr>
        <w:t>Topic 3</w:t>
      </w:r>
      <w:bookmarkEnd w:id="3"/>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Family Dynamics: The Social Construction of Family Life</w:t>
      </w:r>
    </w:p>
    <w:p w:rsidR="007F56D0" w:rsidRPr="006753E3" w:rsidRDefault="007F56D0" w:rsidP="007F56D0">
      <w:pPr>
        <w:numPr>
          <w:ilvl w:val="0"/>
          <w:numId w:val="3"/>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The rules and activities that create a family microculture; ethnic and class variation.</w:t>
      </w:r>
    </w:p>
    <w:p w:rsidR="007F56D0" w:rsidRPr="006753E3" w:rsidRDefault="007F56D0" w:rsidP="007F56D0">
      <w:pPr>
        <w:numPr>
          <w:ilvl w:val="0"/>
          <w:numId w:val="3"/>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Age and sex as a basis for allocating roles within family microculture.</w:t>
      </w:r>
    </w:p>
    <w:p w:rsidR="007F56D0" w:rsidRPr="006753E3" w:rsidRDefault="007F56D0" w:rsidP="007F56D0">
      <w:pPr>
        <w:numPr>
          <w:ilvl w:val="0"/>
          <w:numId w:val="3"/>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Individuation within family microculture.</w:t>
      </w:r>
    </w:p>
    <w:p w:rsidR="007F56D0" w:rsidRPr="006753E3" w:rsidRDefault="007F56D0" w:rsidP="007F56D0">
      <w:pPr>
        <w:numPr>
          <w:ilvl w:val="0"/>
          <w:numId w:val="3"/>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4:</w:t>
      </w:r>
      <w:r w:rsidRPr="006753E3">
        <w:rPr>
          <w:rFonts w:cs="Times New Roman"/>
          <w:color w:val="000000" w:themeColor="text1"/>
          <w:sz w:val="24"/>
          <w:szCs w:val="24"/>
        </w:rPr>
        <w:t xml:space="preserve"> Family microculture reflected in the spatial properties of the “home”.</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t xml:space="preserve"> </w:t>
      </w:r>
      <w:r w:rsidRPr="006753E3">
        <w:rPr>
          <w:rStyle w:val="Emphasis"/>
          <w:rFonts w:asciiTheme="minorHAnsi" w:hAnsiTheme="minorHAnsi"/>
          <w:color w:val="000000" w:themeColor="text1"/>
        </w:rPr>
        <w:t>Library Reserve:</w:t>
      </w:r>
      <w:r w:rsidRPr="006753E3">
        <w:rPr>
          <w:rFonts w:asciiTheme="minorHAnsi" w:hAnsiTheme="minorHAnsi"/>
          <w:color w:val="000000" w:themeColor="text1"/>
        </w:rPr>
        <w:t xml:space="preserve"> M. Devault, “The Meaning(s) of Family”; E. Pleck, </w:t>
      </w:r>
      <w:r w:rsidRPr="006753E3">
        <w:rPr>
          <w:rFonts w:asciiTheme="minorHAnsi" w:hAnsiTheme="minorHAnsi"/>
          <w:color w:val="000000" w:themeColor="text1"/>
          <w:u w:val="single"/>
        </w:rPr>
        <w:t>Celebrating the Family</w:t>
      </w:r>
      <w:r w:rsidRPr="006753E3">
        <w:rPr>
          <w:rFonts w:asciiTheme="minorHAnsi" w:hAnsiTheme="minorHAnsi"/>
          <w:color w:val="000000" w:themeColor="text1"/>
        </w:rPr>
        <w:t>.</w:t>
      </w: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4" w:name="Topic_4"/>
      <w:r w:rsidRPr="006753E3">
        <w:rPr>
          <w:rFonts w:asciiTheme="minorHAnsi" w:hAnsiTheme="minorHAnsi" w:cs="Times New Roman"/>
          <w:color w:val="000000" w:themeColor="text1"/>
          <w:sz w:val="24"/>
          <w:szCs w:val="24"/>
        </w:rPr>
        <w:t>Topic 4</w:t>
      </w:r>
      <w:bookmarkEnd w:id="4"/>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Dating and Mate Selection</w:t>
      </w:r>
    </w:p>
    <w:p w:rsidR="007F56D0" w:rsidRPr="006753E3" w:rsidRDefault="007F56D0" w:rsidP="007F56D0">
      <w:pPr>
        <w:numPr>
          <w:ilvl w:val="0"/>
          <w:numId w:val="4"/>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Historical and cross-cultural variations: social arrangements and romance.</w:t>
      </w:r>
    </w:p>
    <w:p w:rsidR="007F56D0" w:rsidRPr="006753E3" w:rsidRDefault="007F56D0" w:rsidP="007F56D0">
      <w:pPr>
        <w:numPr>
          <w:ilvl w:val="0"/>
          <w:numId w:val="4"/>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Contemporary strategies for finding partners.</w:t>
      </w:r>
    </w:p>
    <w:p w:rsidR="007F56D0" w:rsidRPr="006753E3" w:rsidRDefault="007F56D0" w:rsidP="007F56D0">
      <w:pPr>
        <w:numPr>
          <w:ilvl w:val="0"/>
          <w:numId w:val="4"/>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Social pressures and marital endogamy.</w:t>
      </w:r>
    </w:p>
    <w:p w:rsidR="007F56D0" w:rsidRPr="006753E3" w:rsidRDefault="007F56D0" w:rsidP="007F56D0">
      <w:pPr>
        <w:numPr>
          <w:ilvl w:val="0"/>
          <w:numId w:val="4"/>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4:</w:t>
      </w:r>
      <w:r w:rsidRPr="006753E3">
        <w:rPr>
          <w:rFonts w:cs="Times New Roman"/>
          <w:color w:val="000000" w:themeColor="text1"/>
          <w:sz w:val="24"/>
          <w:szCs w:val="24"/>
        </w:rPr>
        <w:t xml:space="preserve"> The social calculus of relationship satisfaction and commitment.</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br/>
      </w:r>
      <w:r w:rsidRPr="006753E3">
        <w:rPr>
          <w:rStyle w:val="Emphasis"/>
          <w:rFonts w:asciiTheme="minorHAnsi" w:hAnsiTheme="minorHAnsi"/>
          <w:color w:val="000000" w:themeColor="text1"/>
        </w:rPr>
        <w:t>Library Reserve:</w:t>
      </w:r>
      <w:r w:rsidRPr="006753E3">
        <w:rPr>
          <w:rFonts w:asciiTheme="minorHAnsi" w:hAnsiTheme="minorHAnsi"/>
          <w:color w:val="000000" w:themeColor="text1"/>
        </w:rPr>
        <w:t xml:space="preserve"> Michael et al., “Finding A Partner”; Sacher and Fine, “Predicting Relationship Stability after Six Months among Dating Couples”; Tricarico, “Personals Ethnicity”.</w:t>
      </w:r>
      <w:r w:rsidRPr="006753E3">
        <w:rPr>
          <w:rFonts w:asciiTheme="minorHAnsi" w:hAnsiTheme="minorHAnsi"/>
          <w:color w:val="000000" w:themeColor="text1"/>
        </w:rPr>
        <w:br/>
      </w:r>
      <w:r w:rsidRPr="006753E3">
        <w:rPr>
          <w:rFonts w:asciiTheme="minorHAnsi" w:hAnsiTheme="minorHAnsi"/>
          <w:color w:val="000000" w:themeColor="text1"/>
        </w:rPr>
        <w:br/>
      </w:r>
      <w:r w:rsidRPr="006753E3">
        <w:rPr>
          <w:rStyle w:val="Emphasis"/>
          <w:rFonts w:asciiTheme="minorHAnsi" w:hAnsiTheme="minorHAnsi"/>
          <w:color w:val="000000" w:themeColor="text1"/>
        </w:rPr>
        <w:t>Kearl’s Guide: Dating and Courtship</w:t>
      </w: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5" w:name="Topic_5"/>
      <w:r w:rsidRPr="006753E3">
        <w:rPr>
          <w:rFonts w:asciiTheme="minorHAnsi" w:hAnsiTheme="minorHAnsi" w:cs="Times New Roman"/>
          <w:color w:val="000000" w:themeColor="text1"/>
          <w:sz w:val="24"/>
          <w:szCs w:val="24"/>
        </w:rPr>
        <w:lastRenderedPageBreak/>
        <w:t>Topic 5</w:t>
      </w:r>
      <w:bookmarkEnd w:id="5"/>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Marriage</w:t>
      </w:r>
    </w:p>
    <w:p w:rsidR="007F56D0" w:rsidRPr="006753E3" w:rsidRDefault="007F56D0" w:rsidP="007F56D0">
      <w:pPr>
        <w:numPr>
          <w:ilvl w:val="0"/>
          <w:numId w:val="5"/>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Erotic friendship: the ideals of romance and companionability.</w:t>
      </w:r>
    </w:p>
    <w:p w:rsidR="007F56D0" w:rsidRPr="006753E3" w:rsidRDefault="007F56D0" w:rsidP="007F56D0">
      <w:pPr>
        <w:numPr>
          <w:ilvl w:val="0"/>
          <w:numId w:val="5"/>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Spouse-centered kinship.</w:t>
      </w:r>
    </w:p>
    <w:p w:rsidR="007F56D0" w:rsidRPr="006753E3" w:rsidRDefault="007F56D0" w:rsidP="007F56D0">
      <w:pPr>
        <w:numPr>
          <w:ilvl w:val="0"/>
          <w:numId w:val="5"/>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Partnership and pragmatism.</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t xml:space="preserve"> Kearl’s Guide: Marriage</w:t>
      </w: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6" w:name="Topic_6"/>
      <w:r w:rsidRPr="006753E3">
        <w:rPr>
          <w:rFonts w:asciiTheme="minorHAnsi" w:hAnsiTheme="minorHAnsi" w:cs="Times New Roman"/>
          <w:color w:val="000000" w:themeColor="text1"/>
          <w:sz w:val="24"/>
          <w:szCs w:val="24"/>
        </w:rPr>
        <w:t>Topic 6</w:t>
      </w:r>
      <w:bookmarkEnd w:id="6"/>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Working and Family</w:t>
      </w:r>
    </w:p>
    <w:p w:rsidR="007F56D0" w:rsidRPr="006753E3" w:rsidRDefault="007F56D0" w:rsidP="007F56D0">
      <w:pPr>
        <w:numPr>
          <w:ilvl w:val="0"/>
          <w:numId w:val="6"/>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Structural and historical determinants of household division of labor.</w:t>
      </w:r>
    </w:p>
    <w:p w:rsidR="007F56D0" w:rsidRPr="006753E3" w:rsidRDefault="007F56D0" w:rsidP="007F56D0">
      <w:pPr>
        <w:numPr>
          <w:ilvl w:val="0"/>
          <w:numId w:val="6"/>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Gender and age variation within the household division of labor.</w:t>
      </w:r>
    </w:p>
    <w:p w:rsidR="007F56D0" w:rsidRPr="006753E3" w:rsidRDefault="007F56D0" w:rsidP="007F56D0">
      <w:pPr>
        <w:numPr>
          <w:ilvl w:val="0"/>
          <w:numId w:val="6"/>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Reconciling work and family.</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br/>
      </w:r>
      <w:r w:rsidRPr="006753E3">
        <w:rPr>
          <w:rStyle w:val="Emphasis"/>
          <w:rFonts w:asciiTheme="minorHAnsi" w:hAnsiTheme="minorHAnsi"/>
          <w:color w:val="000000" w:themeColor="text1"/>
        </w:rPr>
        <w:t>Library Reserve:</w:t>
      </w:r>
      <w:r w:rsidRPr="006753E3">
        <w:rPr>
          <w:rFonts w:asciiTheme="minorHAnsi" w:hAnsiTheme="minorHAnsi"/>
          <w:color w:val="000000" w:themeColor="text1"/>
        </w:rPr>
        <w:t xml:space="preserve"> J. Bernard, “The Good Provider Role: Its Rise and Fall”</w:t>
      </w:r>
      <w:r w:rsidRPr="006753E3">
        <w:rPr>
          <w:rFonts w:asciiTheme="minorHAnsi" w:hAnsiTheme="minorHAnsi"/>
          <w:color w:val="000000" w:themeColor="text1"/>
        </w:rPr>
        <w:br/>
      </w:r>
      <w:r w:rsidRPr="006753E3">
        <w:rPr>
          <w:rFonts w:asciiTheme="minorHAnsi" w:hAnsiTheme="minorHAnsi"/>
          <w:color w:val="000000" w:themeColor="text1"/>
        </w:rPr>
        <w:br/>
        <w:t>A.L. Hochschild, “Work: The Great Escape”.</w:t>
      </w:r>
      <w:r w:rsidRPr="006753E3">
        <w:rPr>
          <w:rFonts w:asciiTheme="minorHAnsi" w:hAnsiTheme="minorHAnsi"/>
          <w:color w:val="000000" w:themeColor="text1"/>
        </w:rPr>
        <w:br/>
      </w:r>
      <w:r w:rsidRPr="006753E3">
        <w:rPr>
          <w:rFonts w:asciiTheme="minorHAnsi" w:hAnsiTheme="minorHAnsi"/>
          <w:color w:val="000000" w:themeColor="text1"/>
        </w:rPr>
        <w:br/>
      </w:r>
      <w:r w:rsidRPr="006753E3">
        <w:rPr>
          <w:rStyle w:val="Emphasis"/>
          <w:rFonts w:asciiTheme="minorHAnsi" w:hAnsiTheme="minorHAnsi"/>
          <w:color w:val="000000" w:themeColor="text1"/>
        </w:rPr>
        <w:t>Kearl’s Guide: Work and Family</w:t>
      </w: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7" w:name="Topic_7"/>
      <w:r w:rsidRPr="006753E3">
        <w:rPr>
          <w:rFonts w:asciiTheme="minorHAnsi" w:hAnsiTheme="minorHAnsi" w:cs="Times New Roman"/>
          <w:color w:val="000000" w:themeColor="text1"/>
          <w:sz w:val="24"/>
          <w:szCs w:val="24"/>
        </w:rPr>
        <w:t>Topic 7</w:t>
      </w:r>
      <w:bookmarkEnd w:id="7"/>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Divorce and Remarriage</w:t>
      </w:r>
    </w:p>
    <w:p w:rsidR="007F56D0" w:rsidRPr="006753E3" w:rsidRDefault="007F56D0" w:rsidP="007F56D0">
      <w:pPr>
        <w:numPr>
          <w:ilvl w:val="0"/>
          <w:numId w:val="7"/>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Statistical patterns in the divorce rate.</w:t>
      </w:r>
    </w:p>
    <w:p w:rsidR="007F56D0" w:rsidRPr="006753E3" w:rsidRDefault="007F56D0" w:rsidP="007F56D0">
      <w:pPr>
        <w:numPr>
          <w:ilvl w:val="0"/>
          <w:numId w:val="7"/>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High divorce rates as a function of changing sex roles, “cultural narcissism”, and new marital ideals.</w:t>
      </w:r>
    </w:p>
    <w:p w:rsidR="007F56D0" w:rsidRPr="006753E3" w:rsidRDefault="007F56D0" w:rsidP="007F56D0">
      <w:pPr>
        <w:numPr>
          <w:ilvl w:val="0"/>
          <w:numId w:val="7"/>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Divorce and changes in legal and religious norms.</w:t>
      </w:r>
    </w:p>
    <w:p w:rsidR="007F56D0" w:rsidRPr="006753E3" w:rsidRDefault="007F56D0" w:rsidP="007F56D0">
      <w:pPr>
        <w:numPr>
          <w:ilvl w:val="0"/>
          <w:numId w:val="7"/>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4:</w:t>
      </w:r>
      <w:r w:rsidRPr="006753E3">
        <w:rPr>
          <w:rFonts w:cs="Times New Roman"/>
          <w:color w:val="000000" w:themeColor="text1"/>
          <w:sz w:val="24"/>
          <w:szCs w:val="24"/>
        </w:rPr>
        <w:t xml:space="preserve"> Patterns of remarriage.</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br/>
        <w:t>Kearl’s Guide: Divorce</w:t>
      </w:r>
      <w:r w:rsidRPr="006753E3">
        <w:rPr>
          <w:rFonts w:asciiTheme="minorHAnsi" w:hAnsiTheme="minorHAnsi"/>
          <w:color w:val="000000" w:themeColor="text1"/>
        </w:rPr>
        <w:br/>
      </w:r>
      <w:r w:rsidRPr="006753E3">
        <w:rPr>
          <w:rFonts w:asciiTheme="minorHAnsi" w:hAnsiTheme="minorHAnsi"/>
          <w:color w:val="000000" w:themeColor="text1"/>
        </w:rPr>
        <w:lastRenderedPageBreak/>
        <w:br/>
      </w:r>
      <w:r w:rsidRPr="006753E3">
        <w:rPr>
          <w:rStyle w:val="Emphasis"/>
          <w:rFonts w:asciiTheme="minorHAnsi" w:hAnsiTheme="minorHAnsi"/>
          <w:color w:val="000000" w:themeColor="text1"/>
        </w:rPr>
        <w:t>Internet Lab</w:t>
      </w:r>
      <w:r w:rsidRPr="006753E3">
        <w:rPr>
          <w:rFonts w:asciiTheme="minorHAnsi" w:hAnsiTheme="minorHAnsi"/>
          <w:color w:val="000000" w:themeColor="text1"/>
        </w:rPr>
        <w:t>: Research census data to track trends in divorce and remarriage.</w:t>
      </w: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8" w:name="Topic_8"/>
      <w:r w:rsidRPr="006753E3">
        <w:rPr>
          <w:rFonts w:asciiTheme="minorHAnsi" w:hAnsiTheme="minorHAnsi" w:cs="Times New Roman"/>
          <w:color w:val="000000" w:themeColor="text1"/>
          <w:sz w:val="24"/>
          <w:szCs w:val="24"/>
        </w:rPr>
        <w:t>Topic 8</w:t>
      </w:r>
      <w:bookmarkEnd w:id="8"/>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Parent and Parenting</w:t>
      </w:r>
    </w:p>
    <w:p w:rsidR="007F56D0" w:rsidRPr="006753E3" w:rsidRDefault="007F56D0" w:rsidP="007F56D0">
      <w:pPr>
        <w:numPr>
          <w:ilvl w:val="0"/>
          <w:numId w:val="8"/>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Economic and cultural determinants of low fertility; “priceless” children and lifestyle liabilities.</w:t>
      </w:r>
    </w:p>
    <w:p w:rsidR="007F56D0" w:rsidRPr="006753E3" w:rsidRDefault="007F56D0" w:rsidP="007F56D0">
      <w:pPr>
        <w:numPr>
          <w:ilvl w:val="0"/>
          <w:numId w:val="8"/>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The social construction of parenting ideals.</w:t>
      </w:r>
    </w:p>
    <w:p w:rsidR="007F56D0" w:rsidRPr="006753E3" w:rsidRDefault="007F56D0" w:rsidP="007F56D0">
      <w:pPr>
        <w:numPr>
          <w:ilvl w:val="0"/>
          <w:numId w:val="8"/>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Social origins and implications of parenting practices in cross-cultural perspective.</w:t>
      </w:r>
    </w:p>
    <w:p w:rsidR="007F56D0" w:rsidRPr="006753E3" w:rsidRDefault="007F56D0" w:rsidP="007F56D0">
      <w:pPr>
        <w:numPr>
          <w:ilvl w:val="0"/>
          <w:numId w:val="8"/>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4:</w:t>
      </w:r>
      <w:r w:rsidRPr="006753E3">
        <w:rPr>
          <w:rFonts w:cs="Times New Roman"/>
          <w:color w:val="000000" w:themeColor="text1"/>
          <w:sz w:val="24"/>
          <w:szCs w:val="24"/>
        </w:rPr>
        <w:t xml:space="preserve"> Transition to Parenting.</w:t>
      </w:r>
    </w:p>
    <w:p w:rsidR="007F56D0" w:rsidRPr="006753E3" w:rsidRDefault="007F56D0" w:rsidP="007F56D0">
      <w:pPr>
        <w:numPr>
          <w:ilvl w:val="0"/>
          <w:numId w:val="8"/>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5:</w:t>
      </w:r>
      <w:r w:rsidRPr="006753E3">
        <w:rPr>
          <w:rFonts w:cs="Times New Roman"/>
          <w:color w:val="000000" w:themeColor="text1"/>
          <w:sz w:val="24"/>
          <w:szCs w:val="24"/>
        </w:rPr>
        <w:t xml:space="preserve"> Parent-child relationships through the life cycle.</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br/>
      </w:r>
      <w:r w:rsidRPr="006753E3">
        <w:rPr>
          <w:rStyle w:val="Emphasis"/>
          <w:rFonts w:asciiTheme="minorHAnsi" w:hAnsiTheme="minorHAnsi"/>
          <w:color w:val="000000" w:themeColor="text1"/>
        </w:rPr>
        <w:t>Library Reserve:</w:t>
      </w:r>
      <w:r w:rsidRPr="006753E3">
        <w:rPr>
          <w:rFonts w:asciiTheme="minorHAnsi" w:hAnsiTheme="minorHAnsi"/>
          <w:color w:val="000000" w:themeColor="text1"/>
        </w:rPr>
        <w:t xml:space="preserve"> Hymowitz, “Why Parents Fail”; A. Lareau, </w:t>
      </w:r>
      <w:r w:rsidRPr="006753E3">
        <w:rPr>
          <w:rFonts w:asciiTheme="minorHAnsi" w:hAnsiTheme="minorHAnsi"/>
          <w:color w:val="000000" w:themeColor="text1"/>
          <w:u w:val="single"/>
        </w:rPr>
        <w:t>Unequal Childhoods</w:t>
      </w:r>
      <w:r w:rsidRPr="006753E3">
        <w:rPr>
          <w:rFonts w:asciiTheme="minorHAnsi" w:hAnsiTheme="minorHAnsi"/>
          <w:color w:val="000000" w:themeColor="text1"/>
        </w:rPr>
        <w:t>;</w:t>
      </w:r>
      <w:r w:rsidRPr="006753E3">
        <w:rPr>
          <w:rStyle w:val="Emphasis"/>
          <w:rFonts w:asciiTheme="minorHAnsi" w:hAnsiTheme="minorHAnsi"/>
          <w:color w:val="000000" w:themeColor="text1"/>
        </w:rPr>
        <w:t xml:space="preserve"> Kearl’s Guide: Parenting</w:t>
      </w:r>
      <w:r w:rsidRPr="006753E3">
        <w:rPr>
          <w:rFonts w:asciiTheme="minorHAnsi" w:hAnsiTheme="minorHAnsi"/>
          <w:color w:val="000000" w:themeColor="text1"/>
        </w:rPr>
        <w:br/>
      </w:r>
      <w:r w:rsidRPr="006753E3">
        <w:rPr>
          <w:rFonts w:asciiTheme="minorHAnsi" w:hAnsiTheme="minorHAnsi"/>
          <w:color w:val="000000" w:themeColor="text1"/>
        </w:rPr>
        <w:br/>
      </w:r>
      <w:r w:rsidRPr="006753E3">
        <w:rPr>
          <w:rStyle w:val="Emphasis"/>
          <w:rFonts w:asciiTheme="minorHAnsi" w:hAnsiTheme="minorHAnsi"/>
          <w:color w:val="000000" w:themeColor="text1"/>
        </w:rPr>
        <w:t>Internet Lab:</w:t>
      </w:r>
      <w:r w:rsidRPr="006753E3">
        <w:rPr>
          <w:rFonts w:asciiTheme="minorHAnsi" w:hAnsiTheme="minorHAnsi"/>
          <w:color w:val="000000" w:themeColor="text1"/>
        </w:rPr>
        <w:t xml:space="preserve"> Survey sites devoted to parenting advice (e.g., National Parenting Center,</w:t>
      </w:r>
      <w:hyperlink r:id="rId7" w:tgtFrame="_blank" w:history="1">
        <w:r w:rsidRPr="006753E3">
          <w:rPr>
            <w:rStyle w:val="Hyperlink"/>
            <w:rFonts w:asciiTheme="minorHAnsi" w:hAnsiTheme="minorHAnsi"/>
            <w:color w:val="000000" w:themeColor="text1"/>
          </w:rPr>
          <w:t>http://www.tnpc.com</w:t>
        </w:r>
      </w:hyperlink>
      <w:r w:rsidRPr="006753E3">
        <w:rPr>
          <w:rFonts w:asciiTheme="minorHAnsi" w:hAnsiTheme="minorHAnsi"/>
          <w:color w:val="000000" w:themeColor="text1"/>
        </w:rPr>
        <w:t>)</w:t>
      </w:r>
    </w:p>
    <w:p w:rsidR="007F56D0" w:rsidRPr="006753E3" w:rsidRDefault="007F56D0" w:rsidP="007F56D0">
      <w:pPr>
        <w:pStyle w:val="Heading3"/>
        <w:spacing w:line="360" w:lineRule="auto"/>
        <w:rPr>
          <w:rFonts w:asciiTheme="minorHAnsi" w:hAnsiTheme="minorHAnsi" w:cs="Times New Roman"/>
          <w:color w:val="000000" w:themeColor="text1"/>
          <w:sz w:val="24"/>
          <w:szCs w:val="24"/>
        </w:rPr>
      </w:pPr>
      <w:bookmarkStart w:id="9" w:name="Topic_9"/>
      <w:r w:rsidRPr="006753E3">
        <w:rPr>
          <w:rFonts w:asciiTheme="minorHAnsi" w:hAnsiTheme="minorHAnsi" w:cs="Times New Roman"/>
          <w:color w:val="000000" w:themeColor="text1"/>
          <w:sz w:val="24"/>
          <w:szCs w:val="24"/>
        </w:rPr>
        <w:t>Topic 9</w:t>
      </w:r>
      <w:bookmarkEnd w:id="9"/>
      <w:r w:rsidRPr="006753E3">
        <w:rPr>
          <w:rFonts w:asciiTheme="minorHAnsi" w:hAnsiTheme="minorHAnsi" w:cs="Times New Roman"/>
          <w:color w:val="000000" w:themeColor="text1"/>
          <w:sz w:val="24"/>
          <w:szCs w:val="24"/>
        </w:rPr>
        <w:t xml:space="preserve">: </w:t>
      </w:r>
      <w:r w:rsidRPr="006753E3">
        <w:rPr>
          <w:rStyle w:val="Emphasis"/>
          <w:rFonts w:asciiTheme="minorHAnsi" w:hAnsiTheme="minorHAnsi" w:cs="Times New Roman"/>
          <w:color w:val="000000" w:themeColor="text1"/>
          <w:sz w:val="24"/>
          <w:szCs w:val="24"/>
        </w:rPr>
        <w:t>Child Care</w:t>
      </w:r>
    </w:p>
    <w:p w:rsidR="007F56D0" w:rsidRPr="006753E3" w:rsidRDefault="007F56D0" w:rsidP="007F56D0">
      <w:pPr>
        <w:numPr>
          <w:ilvl w:val="0"/>
          <w:numId w:val="9"/>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1:</w:t>
      </w:r>
      <w:r w:rsidRPr="006753E3">
        <w:rPr>
          <w:rFonts w:cs="Times New Roman"/>
          <w:color w:val="000000" w:themeColor="text1"/>
          <w:sz w:val="24"/>
          <w:szCs w:val="24"/>
        </w:rPr>
        <w:t xml:space="preserve"> Types of Child Care in Modern Society</w:t>
      </w:r>
    </w:p>
    <w:p w:rsidR="007F56D0" w:rsidRPr="006753E3" w:rsidRDefault="007F56D0" w:rsidP="007F56D0">
      <w:pPr>
        <w:numPr>
          <w:ilvl w:val="0"/>
          <w:numId w:val="9"/>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2:</w:t>
      </w:r>
      <w:r w:rsidRPr="006753E3">
        <w:rPr>
          <w:rFonts w:cs="Times New Roman"/>
          <w:color w:val="000000" w:themeColor="text1"/>
          <w:sz w:val="24"/>
          <w:szCs w:val="24"/>
        </w:rPr>
        <w:t xml:space="preserve"> The Social Basis for Alternative Child Care</w:t>
      </w:r>
    </w:p>
    <w:p w:rsidR="007F56D0" w:rsidRPr="006753E3" w:rsidRDefault="007F56D0" w:rsidP="007F56D0">
      <w:pPr>
        <w:numPr>
          <w:ilvl w:val="0"/>
          <w:numId w:val="9"/>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3:</w:t>
      </w:r>
      <w:r w:rsidRPr="006753E3">
        <w:rPr>
          <w:rFonts w:cs="Times New Roman"/>
          <w:color w:val="000000" w:themeColor="text1"/>
          <w:sz w:val="24"/>
          <w:szCs w:val="24"/>
        </w:rPr>
        <w:t xml:space="preserve"> Child Care and Social Values</w:t>
      </w:r>
    </w:p>
    <w:p w:rsidR="007F56D0" w:rsidRPr="006753E3" w:rsidRDefault="007F56D0" w:rsidP="007F56D0">
      <w:pPr>
        <w:numPr>
          <w:ilvl w:val="0"/>
          <w:numId w:val="9"/>
        </w:numPr>
        <w:spacing w:before="100" w:beforeAutospacing="1" w:after="100" w:afterAutospacing="1" w:line="360" w:lineRule="auto"/>
        <w:rPr>
          <w:rFonts w:cs="Times New Roman"/>
          <w:color w:val="000000" w:themeColor="text1"/>
          <w:sz w:val="24"/>
          <w:szCs w:val="24"/>
        </w:rPr>
      </w:pPr>
      <w:r w:rsidRPr="006753E3">
        <w:rPr>
          <w:rStyle w:val="Strong"/>
          <w:rFonts w:cs="Times New Roman"/>
          <w:color w:val="000000" w:themeColor="text1"/>
          <w:sz w:val="24"/>
          <w:szCs w:val="24"/>
        </w:rPr>
        <w:t>Unit 4:</w:t>
      </w:r>
      <w:r w:rsidRPr="006753E3">
        <w:rPr>
          <w:rFonts w:cs="Times New Roman"/>
          <w:color w:val="000000" w:themeColor="text1"/>
          <w:sz w:val="24"/>
          <w:szCs w:val="24"/>
        </w:rPr>
        <w:t xml:space="preserve"> Supplying Daycare</w:t>
      </w:r>
    </w:p>
    <w:p w:rsidR="007F56D0" w:rsidRPr="006753E3" w:rsidRDefault="007F56D0" w:rsidP="007F56D0">
      <w:pPr>
        <w:pStyle w:val="NormalWeb"/>
        <w:spacing w:line="360" w:lineRule="auto"/>
        <w:rPr>
          <w:rFonts w:asciiTheme="minorHAnsi" w:hAnsiTheme="minorHAnsi"/>
          <w:color w:val="000000" w:themeColor="text1"/>
        </w:rPr>
      </w:pPr>
      <w:r w:rsidRPr="006753E3">
        <w:rPr>
          <w:rStyle w:val="Strong"/>
          <w:rFonts w:asciiTheme="minorHAnsi" w:eastAsiaTheme="majorEastAsia" w:hAnsiTheme="minorHAnsi"/>
          <w:color w:val="000000" w:themeColor="text1"/>
        </w:rPr>
        <w:t>Read:</w:t>
      </w:r>
      <w:r w:rsidRPr="006753E3">
        <w:rPr>
          <w:rFonts w:asciiTheme="minorHAnsi" w:hAnsiTheme="minorHAnsi"/>
          <w:color w:val="000000" w:themeColor="text1"/>
        </w:rPr>
        <w:br/>
        <w:t xml:space="preserve">Early Head Start National Resource Center (Zero to Three), </w:t>
      </w:r>
      <w:hyperlink r:id="rId8" w:tgtFrame="_blank" w:history="1">
        <w:r w:rsidRPr="006753E3">
          <w:rPr>
            <w:rStyle w:val="Hyperlink"/>
            <w:rFonts w:asciiTheme="minorHAnsi" w:hAnsiTheme="minorHAnsi"/>
            <w:color w:val="000000" w:themeColor="text1"/>
          </w:rPr>
          <w:t>http://www.ehsnrc.org/InformationResources/rmfamily.htm</w:t>
        </w:r>
      </w:hyperlink>
    </w:p>
    <w:p w:rsidR="007F56D0" w:rsidRPr="006753E3" w:rsidRDefault="007F56D0" w:rsidP="007F56D0">
      <w:pPr>
        <w:spacing w:after="0" w:line="360" w:lineRule="auto"/>
        <w:rPr>
          <w:rFonts w:eastAsia="Times New Roman" w:cs="Times New Roman"/>
          <w:sz w:val="24"/>
          <w:szCs w:val="24"/>
        </w:rPr>
      </w:pPr>
      <w:r w:rsidRPr="006753E3">
        <w:rPr>
          <w:rFonts w:eastAsia="Times New Roman" w:cs="Times New Roman"/>
          <w:sz w:val="24"/>
          <w:szCs w:val="24"/>
        </w:rPr>
        <w:lastRenderedPageBreak/>
        <w:t>Dreby. 2007. “Children and Power in Mexican Transnational  Families” Sarkisian and Gerstel. 2004. “Kin Support among Blacks and Whites: Race and Family Organization.</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CCE"/>
    <w:multiLevelType w:val="multilevel"/>
    <w:tmpl w:val="7F4E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44BFE"/>
    <w:multiLevelType w:val="multilevel"/>
    <w:tmpl w:val="3A12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166EF"/>
    <w:multiLevelType w:val="multilevel"/>
    <w:tmpl w:val="5D4E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43B32"/>
    <w:multiLevelType w:val="multilevel"/>
    <w:tmpl w:val="38B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B3D5F"/>
    <w:multiLevelType w:val="multilevel"/>
    <w:tmpl w:val="3286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D2F0F"/>
    <w:multiLevelType w:val="multilevel"/>
    <w:tmpl w:val="1E62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15716"/>
    <w:multiLevelType w:val="multilevel"/>
    <w:tmpl w:val="6EC4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C05D7"/>
    <w:multiLevelType w:val="multilevel"/>
    <w:tmpl w:val="67B2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A94BC5"/>
    <w:multiLevelType w:val="multilevel"/>
    <w:tmpl w:val="FDFE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6"/>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0"/>
    <w:rsid w:val="005867DE"/>
    <w:rsid w:val="007F56D0"/>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7FFD3-841F-4DDD-A13F-CB23F67A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D0"/>
    <w:pPr>
      <w:spacing w:after="200" w:line="276" w:lineRule="auto"/>
    </w:pPr>
  </w:style>
  <w:style w:type="paragraph" w:styleId="Heading3">
    <w:name w:val="heading 3"/>
    <w:basedOn w:val="Normal"/>
    <w:next w:val="Normal"/>
    <w:link w:val="Heading3Char"/>
    <w:uiPriority w:val="9"/>
    <w:semiHidden/>
    <w:unhideWhenUsed/>
    <w:qFormat/>
    <w:rsid w:val="007F56D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56D0"/>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7F56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7F56D0"/>
    <w:rPr>
      <w:color w:val="0000FF"/>
      <w:u w:val="single"/>
    </w:rPr>
  </w:style>
  <w:style w:type="character" w:styleId="Strong">
    <w:name w:val="Strong"/>
    <w:basedOn w:val="DefaultParagraphFont"/>
    <w:uiPriority w:val="22"/>
    <w:qFormat/>
    <w:rsid w:val="007F56D0"/>
    <w:rPr>
      <w:b/>
      <w:bCs/>
    </w:rPr>
  </w:style>
  <w:style w:type="character" w:styleId="Emphasis">
    <w:name w:val="Emphasis"/>
    <w:basedOn w:val="DefaultParagraphFont"/>
    <w:uiPriority w:val="20"/>
    <w:qFormat/>
    <w:rsid w:val="007F56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nrc.org/InformationResources/rmfamily.htm" TargetMode="External"/><Relationship Id="rId3" Type="http://schemas.openxmlformats.org/officeDocument/2006/relationships/settings" Target="settings.xml"/><Relationship Id="rId7" Type="http://schemas.openxmlformats.org/officeDocument/2006/relationships/hyperlink" Target="http://www.tn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ensus.gov/" TargetMode="External"/><Relationship Id="rId5" Type="http://schemas.openxmlformats.org/officeDocument/2006/relationships/hyperlink" Target="http://www.trinity.edu/nmkearl/fam-in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2022-03-31T07:39:00Z</dcterms:created>
  <dcterms:modified xsi:type="dcterms:W3CDTF">2022-03-31T07:47:00Z</dcterms:modified>
</cp:coreProperties>
</file>