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AA" w:rsidRPr="00106D53" w:rsidRDefault="00CC35AA" w:rsidP="00CC35AA">
      <w:pPr>
        <w:pStyle w:val="Heading2"/>
        <w:rPr>
          <w:rFonts w:ascii="Arial" w:hAnsi="Arial" w:cs="Arial"/>
          <w:sz w:val="24"/>
        </w:rPr>
      </w:pPr>
      <w:bookmarkStart w:id="0" w:name="_GoBack"/>
      <w:r w:rsidRPr="00106D53">
        <w:rPr>
          <w:rFonts w:ascii="Arial" w:hAnsi="Arial" w:cs="Arial"/>
        </w:rPr>
        <w:t>International and Cross-Cultural Social Work</w:t>
      </w:r>
    </w:p>
    <w:bookmarkEnd w:id="0"/>
    <w:p w:rsidR="00CC35AA" w:rsidRPr="00106D53" w:rsidRDefault="00CC35AA" w:rsidP="00CC35AA">
      <w:pPr>
        <w:spacing w:after="0" w:line="360" w:lineRule="auto"/>
        <w:rPr>
          <w:rFonts w:ascii="Arial" w:hAnsi="Arial" w:cs="Arial"/>
          <w:b/>
          <w:sz w:val="24"/>
          <w:szCs w:val="24"/>
        </w:rPr>
      </w:pPr>
      <w:r w:rsidRPr="00106D53">
        <w:rPr>
          <w:rFonts w:ascii="Arial" w:hAnsi="Arial" w:cs="Arial"/>
          <w:b/>
          <w:sz w:val="24"/>
          <w:szCs w:val="24"/>
        </w:rPr>
        <w:t>Course Description</w:t>
      </w:r>
    </w:p>
    <w:p w:rsidR="00CC35AA" w:rsidRPr="00106D53" w:rsidRDefault="00CC35AA" w:rsidP="00CC35AA">
      <w:pPr>
        <w:spacing w:after="0" w:line="240" w:lineRule="auto"/>
        <w:rPr>
          <w:rFonts w:ascii="Arial" w:hAnsi="Arial" w:cs="Arial"/>
          <w:sz w:val="28"/>
        </w:rPr>
      </w:pPr>
      <w:r w:rsidRPr="00106D53">
        <w:rPr>
          <w:rFonts w:ascii="Arial" w:hAnsi="Arial" w:cs="Arial"/>
          <w:sz w:val="24"/>
          <w:szCs w:val="24"/>
        </w:rPr>
        <w:t xml:space="preserve">This course </w:t>
      </w:r>
      <w:r w:rsidRPr="00106D53">
        <w:rPr>
          <w:rFonts w:ascii="Arial" w:hAnsi="Arial" w:cs="Arial"/>
          <w:color w:val="000000" w:themeColor="text1"/>
          <w:sz w:val="24"/>
          <w:szCs w:val="24"/>
        </w:rPr>
        <w:t>is</w:t>
      </w:r>
      <w:r w:rsidRPr="00106D53">
        <w:rPr>
          <w:rFonts w:ascii="Arial" w:hAnsi="Arial" w:cs="Arial"/>
          <w:color w:val="FF0000"/>
          <w:sz w:val="24"/>
          <w:szCs w:val="24"/>
        </w:rPr>
        <w:t xml:space="preserve"> </w:t>
      </w:r>
      <w:r w:rsidRPr="00106D53">
        <w:rPr>
          <w:rFonts w:ascii="Arial" w:hAnsi="Arial" w:cs="Arial"/>
          <w:sz w:val="24"/>
          <w:szCs w:val="24"/>
        </w:rPr>
        <w:t>related to understanding the diverse roles and activities that social workers play in different countries and cross-cultural contexts. International social work practice is a relatively new field. The focus of the course is on helping each student develop her/his conceptualization of international social work practice.</w:t>
      </w:r>
    </w:p>
    <w:p w:rsidR="00CC35AA" w:rsidRPr="00106D53" w:rsidRDefault="00CC35AA" w:rsidP="00CC35AA">
      <w:pPr>
        <w:rPr>
          <w:rFonts w:ascii="Arial" w:hAnsi="Arial" w:cs="Arial"/>
          <w:sz w:val="10"/>
        </w:rPr>
      </w:pPr>
    </w:p>
    <w:p w:rsidR="00CC35AA" w:rsidRPr="00106D53" w:rsidRDefault="00CC35AA" w:rsidP="00CC35AA">
      <w:pPr>
        <w:spacing w:after="0" w:line="360" w:lineRule="auto"/>
        <w:rPr>
          <w:rFonts w:ascii="Arial" w:hAnsi="Arial" w:cs="Arial"/>
          <w:b/>
          <w:sz w:val="24"/>
          <w:szCs w:val="24"/>
        </w:rPr>
      </w:pPr>
      <w:r w:rsidRPr="00106D53">
        <w:rPr>
          <w:rFonts w:ascii="Arial" w:hAnsi="Arial" w:cs="Arial"/>
          <w:b/>
          <w:sz w:val="24"/>
          <w:szCs w:val="24"/>
        </w:rPr>
        <w:t>Course Objectives</w:t>
      </w:r>
    </w:p>
    <w:p w:rsidR="00CC35AA" w:rsidRPr="00106D53" w:rsidRDefault="00CC35AA" w:rsidP="00CC35AA">
      <w:pPr>
        <w:rPr>
          <w:rFonts w:ascii="Arial" w:hAnsi="Arial" w:cs="Arial"/>
          <w:sz w:val="28"/>
        </w:rPr>
      </w:pPr>
      <w:r w:rsidRPr="00106D53">
        <w:rPr>
          <w:rFonts w:ascii="Arial" w:hAnsi="Arial" w:cs="Arial"/>
          <w:sz w:val="24"/>
          <w:szCs w:val="24"/>
        </w:rPr>
        <w:t>The course will offer opportunity to students to acquire an analytic frame of reference for understanding and working in international and cross-cultural contexts. Students will be able to understand contemporary pressing global social problems including human trafficking, illegal drug sales and abuse, environmental disasters, health care emergencies and inequalities, inter-ethnic strife, immigrant and migration rights, and post-traumatic stress syndrome</w:t>
      </w:r>
    </w:p>
    <w:p w:rsidR="00CC35AA" w:rsidRPr="00106D53" w:rsidRDefault="00CC35AA" w:rsidP="00CC35AA">
      <w:pPr>
        <w:spacing w:after="0" w:line="360" w:lineRule="auto"/>
        <w:rPr>
          <w:rFonts w:ascii="Arial" w:hAnsi="Arial" w:cs="Arial"/>
          <w:b/>
          <w:sz w:val="24"/>
          <w:szCs w:val="24"/>
        </w:rPr>
      </w:pPr>
      <w:r w:rsidRPr="00106D53">
        <w:rPr>
          <w:rFonts w:ascii="Arial" w:hAnsi="Arial" w:cs="Arial"/>
          <w:b/>
          <w:sz w:val="24"/>
          <w:szCs w:val="24"/>
        </w:rPr>
        <w:t>Learning Outcomes</w:t>
      </w:r>
    </w:p>
    <w:p w:rsidR="00CC35AA" w:rsidRPr="00106D53" w:rsidRDefault="00CC35AA" w:rsidP="00CC35AA">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The students will be introduced concepts related to international social work and its practices</w:t>
      </w:r>
    </w:p>
    <w:p w:rsidR="00CC35AA" w:rsidRPr="00106D53" w:rsidRDefault="00CC35AA" w:rsidP="00CC35AA">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 xml:space="preserve">The students will learn social work skills for working in cross-cultural context.  </w:t>
      </w:r>
    </w:p>
    <w:p w:rsidR="00CC35AA" w:rsidRPr="00106D53" w:rsidRDefault="00CC35AA" w:rsidP="00CC35AA">
      <w:pPr>
        <w:rPr>
          <w:rFonts w:ascii="Arial" w:hAnsi="Arial" w:cs="Arial"/>
          <w:sz w:val="12"/>
        </w:rPr>
      </w:pPr>
    </w:p>
    <w:p w:rsidR="00CC35AA" w:rsidRPr="00106D53" w:rsidRDefault="00CC35AA" w:rsidP="00CC35AA">
      <w:pPr>
        <w:spacing w:after="0" w:line="360" w:lineRule="auto"/>
        <w:rPr>
          <w:rFonts w:ascii="Arial" w:hAnsi="Arial" w:cs="Arial"/>
          <w:b/>
          <w:sz w:val="24"/>
          <w:szCs w:val="24"/>
        </w:rPr>
      </w:pPr>
      <w:r w:rsidRPr="00106D53">
        <w:rPr>
          <w:rFonts w:ascii="Arial" w:hAnsi="Arial" w:cs="Arial"/>
          <w:b/>
          <w:sz w:val="24"/>
          <w:szCs w:val="24"/>
        </w:rPr>
        <w:t>Teaching Method</w:t>
      </w:r>
    </w:p>
    <w:p w:rsidR="00CC35AA" w:rsidRPr="00106D53" w:rsidRDefault="00CC35AA" w:rsidP="00CC35AA">
      <w:pPr>
        <w:spacing w:line="240" w:lineRule="auto"/>
        <w:rPr>
          <w:rFonts w:ascii="Arial" w:hAnsi="Arial" w:cs="Arial"/>
          <w:sz w:val="28"/>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CC35AA" w:rsidRPr="00106D53" w:rsidRDefault="00CC35AA" w:rsidP="00CC35AA">
      <w:pPr>
        <w:spacing w:after="0" w:line="360" w:lineRule="auto"/>
        <w:rPr>
          <w:rFonts w:ascii="Arial" w:hAnsi="Arial" w:cs="Arial"/>
          <w:b/>
          <w:sz w:val="24"/>
          <w:szCs w:val="24"/>
        </w:rPr>
      </w:pPr>
      <w:r w:rsidRPr="00106D53">
        <w:rPr>
          <w:rFonts w:ascii="Arial" w:hAnsi="Arial" w:cs="Arial"/>
          <w:b/>
          <w:sz w:val="24"/>
          <w:szCs w:val="24"/>
        </w:rPr>
        <w:t>Course Content</w:t>
      </w:r>
    </w:p>
    <w:p w:rsidR="00CC35AA" w:rsidRPr="00106D53" w:rsidRDefault="00CC35AA" w:rsidP="00CC35AA">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International and cross-cultural social work – definition, history and practices </w:t>
      </w:r>
    </w:p>
    <w:p w:rsidR="00CC35AA" w:rsidRPr="00106D53" w:rsidRDefault="00CC35AA" w:rsidP="00CC35AA">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Role of global social workers</w:t>
      </w:r>
    </w:p>
    <w:p w:rsidR="00CC35AA" w:rsidRPr="00106D53" w:rsidRDefault="00CC35AA" w:rsidP="00CC35AA">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Values and Ethics for International Social Work Practice</w:t>
      </w:r>
    </w:p>
    <w:p w:rsidR="00CC35AA" w:rsidRPr="00106D53" w:rsidRDefault="00CC35AA" w:rsidP="00CC35AA">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Knowledge and skills required for International Social Work Practice</w:t>
      </w:r>
    </w:p>
    <w:p w:rsidR="00CC35AA" w:rsidRPr="00106D53" w:rsidRDefault="00CC35AA" w:rsidP="00CC35AA">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International Social Welfare Organizations and their Functions</w:t>
      </w:r>
    </w:p>
    <w:p w:rsidR="00CC35AA" w:rsidRPr="00106D53" w:rsidRDefault="00CC35AA" w:rsidP="00CC35AA">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Social work in the developed world (USA, UK, Canada, Australia, other welfare states)</w:t>
      </w:r>
    </w:p>
    <w:p w:rsidR="00CC35AA" w:rsidRPr="00106D53" w:rsidRDefault="00CC35AA" w:rsidP="00CC35AA">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Social work in Asian countries (Malaysia, China, KSA, India, Bangladesh)</w:t>
      </w:r>
    </w:p>
    <w:p w:rsidR="00CC35AA" w:rsidRPr="00106D53" w:rsidRDefault="00CC35AA" w:rsidP="00CC35AA">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Guest speaker – e.g. International Red cross society </w:t>
      </w:r>
    </w:p>
    <w:p w:rsidR="00CC35AA" w:rsidRPr="00106D53" w:rsidRDefault="00CC35AA" w:rsidP="00CC35AA">
      <w:pPr>
        <w:rPr>
          <w:rFonts w:ascii="Arial" w:hAnsi="Arial" w:cs="Arial"/>
          <w:sz w:val="14"/>
        </w:rPr>
      </w:pPr>
    </w:p>
    <w:p w:rsidR="00CC35AA" w:rsidRPr="00106D53" w:rsidRDefault="00CC35AA" w:rsidP="00CC35AA">
      <w:pPr>
        <w:spacing w:after="0" w:line="360" w:lineRule="auto"/>
        <w:rPr>
          <w:rFonts w:ascii="Arial" w:hAnsi="Arial" w:cs="Arial"/>
          <w:b/>
          <w:sz w:val="24"/>
          <w:szCs w:val="24"/>
        </w:rPr>
      </w:pPr>
    </w:p>
    <w:p w:rsidR="00CC35AA" w:rsidRPr="00106D53" w:rsidRDefault="00CC35AA" w:rsidP="00CC35AA">
      <w:pPr>
        <w:spacing w:after="0" w:line="360" w:lineRule="auto"/>
        <w:rPr>
          <w:rFonts w:ascii="Arial" w:hAnsi="Arial" w:cs="Arial"/>
          <w:b/>
          <w:sz w:val="24"/>
          <w:szCs w:val="24"/>
        </w:rPr>
      </w:pPr>
      <w:r w:rsidRPr="00106D53">
        <w:rPr>
          <w:rFonts w:ascii="Arial" w:hAnsi="Arial" w:cs="Arial"/>
          <w:b/>
          <w:sz w:val="24"/>
          <w:szCs w:val="24"/>
        </w:rPr>
        <w:lastRenderedPageBreak/>
        <w:t>Suggested Readings</w:t>
      </w:r>
    </w:p>
    <w:p w:rsidR="00CC35AA" w:rsidRPr="00106D53" w:rsidRDefault="00CC35AA" w:rsidP="00CC35AA">
      <w:pPr>
        <w:spacing w:line="240" w:lineRule="auto"/>
        <w:rPr>
          <w:rFonts w:ascii="Arial" w:hAnsi="Arial" w:cs="Arial"/>
          <w:sz w:val="24"/>
          <w:szCs w:val="24"/>
        </w:rPr>
      </w:pPr>
      <w:r w:rsidRPr="00106D53">
        <w:rPr>
          <w:rFonts w:ascii="Arial" w:hAnsi="Arial" w:cs="Arial"/>
          <w:sz w:val="24"/>
          <w:szCs w:val="24"/>
        </w:rPr>
        <w:t xml:space="preserve">Sowers, Karen &amp; Rowe, William. (2007). Social Work Practice &amp; Social Justice: From Local to Global Perspectives. Belmont, CA: Brooks/Cole </w:t>
      </w:r>
    </w:p>
    <w:p w:rsidR="00CC35AA" w:rsidRPr="00106D53" w:rsidRDefault="00CC35AA" w:rsidP="00CC35AA">
      <w:pPr>
        <w:spacing w:line="240" w:lineRule="auto"/>
        <w:rPr>
          <w:rFonts w:ascii="Arial" w:hAnsi="Arial" w:cs="Arial"/>
          <w:sz w:val="24"/>
          <w:szCs w:val="24"/>
        </w:rPr>
      </w:pPr>
      <w:r w:rsidRPr="00106D53">
        <w:rPr>
          <w:rFonts w:ascii="Arial" w:hAnsi="Arial" w:cs="Arial"/>
          <w:sz w:val="24"/>
          <w:szCs w:val="24"/>
        </w:rPr>
        <w:t xml:space="preserve">Lyons, K. H., </w:t>
      </w:r>
      <w:proofErr w:type="spellStart"/>
      <w:r w:rsidRPr="00106D53">
        <w:rPr>
          <w:rFonts w:ascii="Arial" w:hAnsi="Arial" w:cs="Arial"/>
          <w:sz w:val="24"/>
          <w:szCs w:val="24"/>
        </w:rPr>
        <w:t>Hokenstad</w:t>
      </w:r>
      <w:proofErr w:type="spellEnd"/>
      <w:r w:rsidRPr="00106D53">
        <w:rPr>
          <w:rFonts w:ascii="Arial" w:hAnsi="Arial" w:cs="Arial"/>
          <w:sz w:val="24"/>
          <w:szCs w:val="24"/>
        </w:rPr>
        <w:t xml:space="preserve">, T. </w:t>
      </w:r>
      <w:proofErr w:type="spellStart"/>
      <w:r w:rsidRPr="00106D53">
        <w:rPr>
          <w:rFonts w:ascii="Arial" w:hAnsi="Arial" w:cs="Arial"/>
          <w:sz w:val="24"/>
          <w:szCs w:val="24"/>
        </w:rPr>
        <w:t>Pawar</w:t>
      </w:r>
      <w:proofErr w:type="spellEnd"/>
      <w:r w:rsidRPr="00106D53">
        <w:rPr>
          <w:rFonts w:ascii="Arial" w:hAnsi="Arial" w:cs="Arial"/>
          <w:sz w:val="24"/>
          <w:szCs w:val="24"/>
        </w:rPr>
        <w:t xml:space="preserve">, M., </w:t>
      </w:r>
      <w:proofErr w:type="spellStart"/>
      <w:r w:rsidRPr="00106D53">
        <w:rPr>
          <w:rFonts w:ascii="Arial" w:hAnsi="Arial" w:cs="Arial"/>
          <w:sz w:val="24"/>
          <w:szCs w:val="24"/>
        </w:rPr>
        <w:t>Huegler</w:t>
      </w:r>
      <w:proofErr w:type="spellEnd"/>
      <w:r w:rsidRPr="00106D53">
        <w:rPr>
          <w:rFonts w:ascii="Arial" w:hAnsi="Arial" w:cs="Arial"/>
          <w:sz w:val="24"/>
          <w:szCs w:val="24"/>
        </w:rPr>
        <w:t xml:space="preserve">, N. &amp; Hall, N.  (2012). </w:t>
      </w:r>
      <w:proofErr w:type="gramStart"/>
      <w:r w:rsidRPr="00106D53">
        <w:rPr>
          <w:rFonts w:ascii="Arial" w:hAnsi="Arial" w:cs="Arial"/>
          <w:sz w:val="24"/>
          <w:szCs w:val="24"/>
        </w:rPr>
        <w:t>The</w:t>
      </w:r>
      <w:proofErr w:type="gramEnd"/>
      <w:r w:rsidRPr="00106D53">
        <w:rPr>
          <w:rFonts w:ascii="Arial" w:hAnsi="Arial" w:cs="Arial"/>
          <w:sz w:val="24"/>
          <w:szCs w:val="24"/>
        </w:rPr>
        <w:t xml:space="preserve"> SAGE Handbook of International Social Work. London: Sage</w:t>
      </w:r>
    </w:p>
    <w:p w:rsidR="00BD23F4" w:rsidRDefault="00BD23F4"/>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47D57"/>
    <w:multiLevelType w:val="multilevel"/>
    <w:tmpl w:val="55D0630A"/>
    <w:lvl w:ilvl="0">
      <w:start w:val="1"/>
      <w:numFmt w:val="decimal"/>
      <w:lvlText w:val="%1."/>
      <w:lvlJc w:val="left"/>
      <w:pPr>
        <w:ind w:left="720" w:hanging="360"/>
      </w:pPr>
    </w:lvl>
    <w:lvl w:ilv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59535C6"/>
    <w:multiLevelType w:val="hybridMultilevel"/>
    <w:tmpl w:val="4F8288DE"/>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AA"/>
    <w:rsid w:val="00BD23F4"/>
    <w:rsid w:val="00CC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00AA9-BBF5-40D5-A08A-D1F85C0F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AA"/>
  </w:style>
  <w:style w:type="paragraph" w:styleId="Heading2">
    <w:name w:val="heading 2"/>
    <w:basedOn w:val="Normal"/>
    <w:next w:val="Normal"/>
    <w:link w:val="Heading2Char"/>
    <w:uiPriority w:val="9"/>
    <w:unhideWhenUsed/>
    <w:qFormat/>
    <w:rsid w:val="00CC35AA"/>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5AA"/>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2022-03-31T07:57:00Z</dcterms:created>
  <dcterms:modified xsi:type="dcterms:W3CDTF">2022-03-31T07:57:00Z</dcterms:modified>
</cp:coreProperties>
</file>