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C2" w:rsidRPr="00106D53" w:rsidRDefault="00C908C2" w:rsidP="00C908C2">
      <w:pPr>
        <w:pStyle w:val="Heading2"/>
        <w:rPr>
          <w:rFonts w:ascii="Arial" w:hAnsi="Arial" w:cs="Arial"/>
        </w:rPr>
      </w:pPr>
      <w:r w:rsidRPr="00106D53">
        <w:rPr>
          <w:rFonts w:ascii="Arial" w:hAnsi="Arial" w:cs="Arial"/>
        </w:rPr>
        <w:t>Palliative Care in Social Work</w:t>
      </w:r>
    </w:p>
    <w:p w:rsidR="00C908C2" w:rsidRPr="00106D53" w:rsidRDefault="00C908C2" w:rsidP="00C908C2">
      <w:pPr>
        <w:rPr>
          <w:rFonts w:ascii="Arial" w:hAnsi="Arial" w:cs="Arial"/>
          <w:b/>
          <w:sz w:val="24"/>
          <w:szCs w:val="24"/>
        </w:rPr>
      </w:pPr>
      <w:r w:rsidRPr="00106D53">
        <w:rPr>
          <w:rFonts w:ascii="Arial" w:hAnsi="Arial" w:cs="Arial"/>
          <w:b/>
          <w:sz w:val="24"/>
          <w:szCs w:val="24"/>
        </w:rPr>
        <w:t>Course Description</w:t>
      </w:r>
    </w:p>
    <w:p w:rsidR="00C908C2" w:rsidRPr="00106D53" w:rsidRDefault="00C908C2" w:rsidP="00C908C2">
      <w:pPr>
        <w:spacing w:after="120"/>
        <w:rPr>
          <w:rFonts w:ascii="Arial" w:hAnsi="Arial" w:cs="Arial"/>
          <w:sz w:val="24"/>
          <w:szCs w:val="24"/>
        </w:rPr>
      </w:pPr>
      <w:r w:rsidRPr="00106D53">
        <w:rPr>
          <w:rFonts w:ascii="Arial" w:hAnsi="Arial" w:cs="Arial"/>
          <w:sz w:val="24"/>
          <w:szCs w:val="24"/>
        </w:rPr>
        <w:t xml:space="preserve">Palliative care social workers provide emotional support, counseling, and psychotherapy to patients and their families who are experiencing psychological and emotional difficulties in terminal illness. Currently in Pakistan, Palliative care is vigorously promoted by </w:t>
      </w:r>
      <w:proofErr w:type="spellStart"/>
      <w:r w:rsidRPr="00106D53">
        <w:rPr>
          <w:rFonts w:ascii="Arial" w:hAnsi="Arial" w:cs="Arial"/>
          <w:sz w:val="24"/>
          <w:szCs w:val="24"/>
        </w:rPr>
        <w:t>Shaukat</w:t>
      </w:r>
      <w:proofErr w:type="spellEnd"/>
      <w:r w:rsidRPr="00106D53">
        <w:rPr>
          <w:rFonts w:ascii="Arial" w:hAnsi="Arial" w:cs="Arial"/>
          <w:sz w:val="24"/>
          <w:szCs w:val="24"/>
        </w:rPr>
        <w:t xml:space="preserve"> </w:t>
      </w:r>
      <w:proofErr w:type="spellStart"/>
      <w:r w:rsidRPr="00106D53">
        <w:rPr>
          <w:rFonts w:ascii="Arial" w:hAnsi="Arial" w:cs="Arial"/>
          <w:sz w:val="24"/>
          <w:szCs w:val="24"/>
        </w:rPr>
        <w:t>Khanum</w:t>
      </w:r>
      <w:proofErr w:type="spellEnd"/>
      <w:r w:rsidRPr="00106D53">
        <w:rPr>
          <w:rFonts w:ascii="Arial" w:hAnsi="Arial" w:cs="Arial"/>
          <w:sz w:val="24"/>
          <w:szCs w:val="24"/>
        </w:rPr>
        <w:t xml:space="preserve"> Cancer Hospital to help cancer patients.</w:t>
      </w:r>
    </w:p>
    <w:p w:rsidR="00C908C2" w:rsidRPr="00106D53" w:rsidRDefault="00C908C2" w:rsidP="00C908C2">
      <w:pPr>
        <w:rPr>
          <w:rFonts w:ascii="Arial" w:hAnsi="Arial" w:cs="Arial"/>
          <w:b/>
          <w:sz w:val="24"/>
          <w:szCs w:val="24"/>
        </w:rPr>
      </w:pPr>
      <w:r w:rsidRPr="00106D53">
        <w:rPr>
          <w:rFonts w:ascii="Arial" w:hAnsi="Arial" w:cs="Arial"/>
          <w:b/>
          <w:sz w:val="24"/>
          <w:szCs w:val="24"/>
        </w:rPr>
        <w:t>Course Objectives</w:t>
      </w:r>
    </w:p>
    <w:p w:rsidR="00C908C2" w:rsidRPr="00106D53" w:rsidRDefault="00C908C2" w:rsidP="00C908C2">
      <w:pPr>
        <w:spacing w:line="240" w:lineRule="auto"/>
        <w:rPr>
          <w:rFonts w:ascii="Arial" w:hAnsi="Arial" w:cs="Arial"/>
          <w:sz w:val="24"/>
          <w:szCs w:val="24"/>
        </w:rPr>
      </w:pPr>
      <w:r w:rsidRPr="00106D53">
        <w:rPr>
          <w:rFonts w:ascii="Arial" w:hAnsi="Arial" w:cs="Arial"/>
          <w:sz w:val="24"/>
          <w:szCs w:val="24"/>
        </w:rPr>
        <w:t xml:space="preserve">This course aims at preparing social workers to work with people experiencing terminal illnesses. Social workers can offer psycho-social support in various settings such as cancer and HIV care. </w:t>
      </w:r>
    </w:p>
    <w:p w:rsidR="00C908C2" w:rsidRPr="00106D53" w:rsidRDefault="00C908C2" w:rsidP="00C908C2">
      <w:pPr>
        <w:rPr>
          <w:rFonts w:ascii="Arial" w:hAnsi="Arial" w:cs="Arial"/>
          <w:b/>
          <w:sz w:val="24"/>
          <w:szCs w:val="24"/>
        </w:rPr>
      </w:pPr>
      <w:r w:rsidRPr="00106D53">
        <w:rPr>
          <w:rFonts w:ascii="Arial" w:hAnsi="Arial" w:cs="Arial"/>
          <w:b/>
          <w:sz w:val="24"/>
          <w:szCs w:val="24"/>
        </w:rPr>
        <w:t>Learning Outcomes</w:t>
      </w:r>
    </w:p>
    <w:p w:rsidR="00C908C2" w:rsidRPr="00106D53" w:rsidRDefault="00C908C2" w:rsidP="00C908C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 will have understanding of concepts and methods related to palliative care</w:t>
      </w:r>
    </w:p>
    <w:p w:rsidR="00C908C2" w:rsidRPr="00106D53" w:rsidRDefault="00C908C2" w:rsidP="00C908C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 will know relationship between palliative care and social work practice</w:t>
      </w:r>
    </w:p>
    <w:p w:rsidR="00C908C2" w:rsidRPr="00106D53" w:rsidRDefault="00C908C2" w:rsidP="00C908C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To learn skills required to work with palliative care patients and families</w:t>
      </w:r>
    </w:p>
    <w:p w:rsidR="00C908C2" w:rsidRPr="00106D53" w:rsidRDefault="00C908C2" w:rsidP="00C908C2">
      <w:pPr>
        <w:spacing w:after="0" w:line="240" w:lineRule="auto"/>
        <w:ind w:left="720"/>
        <w:contextualSpacing/>
        <w:rPr>
          <w:rFonts w:ascii="Arial" w:hAnsi="Arial" w:cs="Arial"/>
          <w:sz w:val="14"/>
          <w:szCs w:val="24"/>
        </w:rPr>
      </w:pPr>
    </w:p>
    <w:p w:rsidR="00C908C2" w:rsidRPr="00106D53" w:rsidRDefault="00C908C2" w:rsidP="00C908C2">
      <w:pPr>
        <w:rPr>
          <w:rFonts w:ascii="Arial" w:hAnsi="Arial" w:cs="Arial"/>
          <w:b/>
          <w:sz w:val="24"/>
          <w:szCs w:val="24"/>
        </w:rPr>
      </w:pPr>
      <w:r w:rsidRPr="00106D53">
        <w:rPr>
          <w:rFonts w:ascii="Arial" w:hAnsi="Arial" w:cs="Arial"/>
          <w:b/>
          <w:sz w:val="24"/>
          <w:szCs w:val="24"/>
        </w:rPr>
        <w:t>Teaching Method</w:t>
      </w:r>
    </w:p>
    <w:p w:rsidR="00C908C2" w:rsidRPr="00106D53" w:rsidRDefault="00C908C2" w:rsidP="00C908C2">
      <w:pPr>
        <w:spacing w:line="240" w:lineRule="auto"/>
        <w:rPr>
          <w:rFonts w:ascii="Arial" w:hAnsi="Arial" w:cs="Arial"/>
          <w:b/>
          <w:sz w:val="28"/>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C908C2" w:rsidRPr="00106D53" w:rsidRDefault="00C908C2" w:rsidP="00C908C2">
      <w:pPr>
        <w:rPr>
          <w:rFonts w:ascii="Arial" w:hAnsi="Arial" w:cs="Arial"/>
          <w:b/>
          <w:sz w:val="24"/>
          <w:szCs w:val="24"/>
        </w:rPr>
      </w:pPr>
      <w:r w:rsidRPr="00106D53">
        <w:rPr>
          <w:rFonts w:ascii="Arial" w:hAnsi="Arial" w:cs="Arial"/>
          <w:b/>
          <w:sz w:val="24"/>
          <w:szCs w:val="24"/>
        </w:rPr>
        <w:t>Course Content</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Definitions and scope of Palliative care</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Contextual understanding for palliative care: psychosocial, cultural, economic and spiritual pain</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Models of palliative Care</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Palliative care practice &amp; interdisciplinary teamwork</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Guidelines for palliative care</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Roles of Patients and Family Members</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End of Life Decisions</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Ethical Issues</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Scope and need of Palliative care in Pakistan</w:t>
      </w:r>
    </w:p>
    <w:p w:rsidR="00C908C2" w:rsidRPr="00106D53" w:rsidRDefault="00C908C2" w:rsidP="00C908C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Role of social worker in palliative care </w:t>
      </w:r>
    </w:p>
    <w:p w:rsidR="00C908C2" w:rsidRPr="00106D53" w:rsidRDefault="00C908C2" w:rsidP="00C908C2">
      <w:pPr>
        <w:rPr>
          <w:rFonts w:ascii="Arial" w:hAnsi="Arial" w:cs="Arial"/>
          <w:b/>
          <w:sz w:val="14"/>
          <w:szCs w:val="24"/>
        </w:rPr>
      </w:pPr>
    </w:p>
    <w:p w:rsidR="00C908C2" w:rsidRPr="00106D53" w:rsidRDefault="00C908C2" w:rsidP="00C908C2">
      <w:pPr>
        <w:rPr>
          <w:rFonts w:ascii="Arial" w:hAnsi="Arial" w:cs="Arial"/>
          <w:b/>
          <w:sz w:val="24"/>
          <w:szCs w:val="24"/>
        </w:rPr>
      </w:pPr>
    </w:p>
    <w:p w:rsidR="00C908C2" w:rsidRPr="00106D53" w:rsidRDefault="00C908C2" w:rsidP="00C908C2">
      <w:pPr>
        <w:rPr>
          <w:rFonts w:ascii="Arial" w:hAnsi="Arial" w:cs="Arial"/>
          <w:b/>
          <w:sz w:val="24"/>
          <w:szCs w:val="24"/>
        </w:rPr>
      </w:pPr>
      <w:r w:rsidRPr="00106D53">
        <w:rPr>
          <w:rFonts w:ascii="Arial" w:hAnsi="Arial" w:cs="Arial"/>
          <w:b/>
          <w:sz w:val="24"/>
          <w:szCs w:val="24"/>
        </w:rPr>
        <w:lastRenderedPageBreak/>
        <w:t>Suggested Readings</w:t>
      </w:r>
    </w:p>
    <w:p w:rsidR="00C908C2" w:rsidRPr="00106D53" w:rsidRDefault="00C908C2" w:rsidP="00C908C2">
      <w:pPr>
        <w:spacing w:after="0" w:line="240" w:lineRule="auto"/>
        <w:rPr>
          <w:rFonts w:ascii="Arial" w:hAnsi="Arial" w:cs="Arial"/>
          <w:sz w:val="24"/>
          <w:szCs w:val="24"/>
        </w:rPr>
      </w:pPr>
      <w:r w:rsidRPr="00106D53">
        <w:rPr>
          <w:rFonts w:ascii="Arial" w:hAnsi="Arial" w:cs="Arial"/>
          <w:sz w:val="24"/>
          <w:szCs w:val="24"/>
        </w:rPr>
        <w:t xml:space="preserve">Quill, T. E., Holloway, R. G., Shah, M. S., </w:t>
      </w:r>
      <w:proofErr w:type="spellStart"/>
      <w:r w:rsidRPr="00106D53">
        <w:rPr>
          <w:rFonts w:ascii="Arial" w:hAnsi="Arial" w:cs="Arial"/>
          <w:sz w:val="24"/>
          <w:szCs w:val="24"/>
        </w:rPr>
        <w:t>Caprio</w:t>
      </w:r>
      <w:proofErr w:type="spellEnd"/>
      <w:r w:rsidRPr="00106D53">
        <w:rPr>
          <w:rFonts w:ascii="Arial" w:hAnsi="Arial" w:cs="Arial"/>
          <w:sz w:val="24"/>
          <w:szCs w:val="24"/>
        </w:rPr>
        <w:t xml:space="preserve">, T. V., Olden, A. M., &amp; </w:t>
      </w:r>
      <w:proofErr w:type="spellStart"/>
      <w:r w:rsidRPr="00106D53">
        <w:rPr>
          <w:rFonts w:ascii="Arial" w:hAnsi="Arial" w:cs="Arial"/>
          <w:sz w:val="24"/>
          <w:szCs w:val="24"/>
        </w:rPr>
        <w:t>Storey</w:t>
      </w:r>
      <w:proofErr w:type="spellEnd"/>
      <w:r w:rsidRPr="00106D53">
        <w:rPr>
          <w:rFonts w:ascii="Arial" w:hAnsi="Arial" w:cs="Arial"/>
          <w:sz w:val="24"/>
          <w:szCs w:val="24"/>
        </w:rPr>
        <w:t>, C. P. (2014). Primer of palliative care. Chicago, IL: American Academy of Hospice and Palliative Medicine.</w:t>
      </w:r>
    </w:p>
    <w:p w:rsidR="00C908C2" w:rsidRPr="00106D53" w:rsidRDefault="00C908C2" w:rsidP="00C908C2">
      <w:pPr>
        <w:spacing w:after="0" w:line="240" w:lineRule="auto"/>
        <w:rPr>
          <w:rFonts w:ascii="Arial" w:hAnsi="Arial" w:cs="Arial"/>
          <w:sz w:val="24"/>
          <w:szCs w:val="24"/>
        </w:rPr>
      </w:pPr>
      <w:proofErr w:type="spellStart"/>
      <w:r w:rsidRPr="00106D53">
        <w:rPr>
          <w:rFonts w:ascii="Arial" w:hAnsi="Arial" w:cs="Arial"/>
          <w:color w:val="222222"/>
          <w:sz w:val="24"/>
          <w:szCs w:val="24"/>
          <w:shd w:val="clear" w:color="auto" w:fill="FFFFFF"/>
        </w:rPr>
        <w:t>Sumser</w:t>
      </w:r>
      <w:proofErr w:type="spellEnd"/>
      <w:r w:rsidRPr="00106D53">
        <w:rPr>
          <w:rFonts w:ascii="Arial" w:hAnsi="Arial" w:cs="Arial"/>
          <w:color w:val="222222"/>
          <w:sz w:val="24"/>
          <w:szCs w:val="24"/>
          <w:shd w:val="clear" w:color="auto" w:fill="FFFFFF"/>
        </w:rPr>
        <w:t xml:space="preserve">, B., </w:t>
      </w:r>
      <w:proofErr w:type="spellStart"/>
      <w:r w:rsidRPr="00106D53">
        <w:rPr>
          <w:rFonts w:ascii="Arial" w:hAnsi="Arial" w:cs="Arial"/>
          <w:color w:val="222222"/>
          <w:sz w:val="24"/>
          <w:szCs w:val="24"/>
          <w:shd w:val="clear" w:color="auto" w:fill="FFFFFF"/>
        </w:rPr>
        <w:t>Leimena</w:t>
      </w:r>
      <w:proofErr w:type="spellEnd"/>
      <w:r w:rsidRPr="00106D53">
        <w:rPr>
          <w:rFonts w:ascii="Arial" w:hAnsi="Arial" w:cs="Arial"/>
          <w:color w:val="222222"/>
          <w:sz w:val="24"/>
          <w:szCs w:val="24"/>
          <w:shd w:val="clear" w:color="auto" w:fill="FFFFFF"/>
        </w:rPr>
        <w:t xml:space="preserve">, M., &amp; </w:t>
      </w:r>
      <w:proofErr w:type="spellStart"/>
      <w:r w:rsidRPr="00106D53">
        <w:rPr>
          <w:rFonts w:ascii="Arial" w:hAnsi="Arial" w:cs="Arial"/>
          <w:color w:val="222222"/>
          <w:sz w:val="24"/>
          <w:szCs w:val="24"/>
          <w:shd w:val="clear" w:color="auto" w:fill="FFFFFF"/>
        </w:rPr>
        <w:t>Altilio</w:t>
      </w:r>
      <w:proofErr w:type="spellEnd"/>
      <w:r w:rsidRPr="00106D53">
        <w:rPr>
          <w:rFonts w:ascii="Arial" w:hAnsi="Arial" w:cs="Arial"/>
          <w:color w:val="222222"/>
          <w:sz w:val="24"/>
          <w:szCs w:val="24"/>
          <w:shd w:val="clear" w:color="auto" w:fill="FFFFFF"/>
        </w:rPr>
        <w:t>, T. (Eds.). (2019). </w:t>
      </w:r>
      <w:r w:rsidRPr="00106D53">
        <w:rPr>
          <w:rFonts w:ascii="Arial" w:hAnsi="Arial" w:cs="Arial"/>
          <w:i/>
          <w:iCs/>
          <w:color w:val="222222"/>
          <w:sz w:val="24"/>
          <w:szCs w:val="24"/>
          <w:shd w:val="clear" w:color="auto" w:fill="FFFFFF"/>
        </w:rPr>
        <w:t>Palliative Care: A Guide for Health Social Workers</w:t>
      </w:r>
      <w:r w:rsidRPr="00106D53">
        <w:rPr>
          <w:rFonts w:ascii="Arial" w:hAnsi="Arial" w:cs="Arial"/>
          <w:color w:val="222222"/>
          <w:sz w:val="24"/>
          <w:szCs w:val="24"/>
          <w:shd w:val="clear" w:color="auto" w:fill="FFFFFF"/>
        </w:rPr>
        <w:t>. Oxford University Press.</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61EC8"/>
    <w:multiLevelType w:val="hybridMultilevel"/>
    <w:tmpl w:val="4E4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E3343"/>
    <w:multiLevelType w:val="multilevel"/>
    <w:tmpl w:val="EC344AEC"/>
    <w:lvl w:ilvl="0">
      <w:start w:val="1"/>
      <w:numFmt w:val="decimal"/>
      <w:lvlText w:val="%1."/>
      <w:lvlJc w:val="left"/>
      <w:pPr>
        <w:ind w:left="720" w:hanging="360"/>
      </w:pPr>
    </w:lvl>
    <w:lvl w:ilv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C2"/>
    <w:rsid w:val="00BD23F4"/>
    <w:rsid w:val="00C9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D5DED-3D72-4D44-B600-05258E3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C2"/>
  </w:style>
  <w:style w:type="paragraph" w:styleId="Heading2">
    <w:name w:val="heading 2"/>
    <w:basedOn w:val="Normal"/>
    <w:next w:val="Normal"/>
    <w:link w:val="Heading2Char"/>
    <w:uiPriority w:val="9"/>
    <w:unhideWhenUsed/>
    <w:qFormat/>
    <w:rsid w:val="00C908C2"/>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8C2"/>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2022-03-31T07:58:00Z</dcterms:created>
  <dcterms:modified xsi:type="dcterms:W3CDTF">2022-03-31T07:59:00Z</dcterms:modified>
</cp:coreProperties>
</file>