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11" w:rsidRPr="00106D53" w:rsidRDefault="00F05D11" w:rsidP="00F05D11">
      <w:pPr>
        <w:pStyle w:val="Heading2"/>
        <w:rPr>
          <w:rFonts w:ascii="Arial" w:hAnsi="Arial" w:cs="Arial"/>
          <w:szCs w:val="28"/>
        </w:rPr>
      </w:pPr>
      <w:r w:rsidRPr="00106D53">
        <w:rPr>
          <w:rFonts w:ascii="Arial" w:hAnsi="Arial" w:cs="Arial"/>
          <w:szCs w:val="28"/>
        </w:rPr>
        <w:t>Social Case Work</w:t>
      </w:r>
    </w:p>
    <w:p w:rsidR="00F05D11" w:rsidRPr="00106D53" w:rsidRDefault="00F05D11" w:rsidP="00F05D11">
      <w:pPr>
        <w:tabs>
          <w:tab w:val="left" w:pos="1530"/>
        </w:tabs>
        <w:spacing w:after="0" w:line="360" w:lineRule="auto"/>
        <w:rPr>
          <w:rFonts w:ascii="Arial" w:hAnsi="Arial" w:cs="Arial"/>
          <w:b/>
          <w:sz w:val="24"/>
          <w:szCs w:val="24"/>
        </w:rPr>
      </w:pPr>
      <w:r w:rsidRPr="00106D53">
        <w:rPr>
          <w:rFonts w:ascii="Arial" w:hAnsi="Arial" w:cs="Arial"/>
          <w:b/>
          <w:sz w:val="24"/>
          <w:szCs w:val="24"/>
        </w:rPr>
        <w:t>Course Description</w:t>
      </w:r>
    </w:p>
    <w:p w:rsidR="00F05D11" w:rsidRPr="00106D53" w:rsidRDefault="00F05D11" w:rsidP="00F05D11">
      <w:pPr>
        <w:tabs>
          <w:tab w:val="left" w:pos="1530"/>
        </w:tabs>
        <w:spacing w:line="240" w:lineRule="auto"/>
        <w:rPr>
          <w:rFonts w:ascii="Arial" w:hAnsi="Arial" w:cs="Arial"/>
          <w:sz w:val="24"/>
          <w:szCs w:val="24"/>
        </w:rPr>
      </w:pPr>
      <w:r w:rsidRPr="00106D53">
        <w:rPr>
          <w:rFonts w:ascii="Arial" w:hAnsi="Arial" w:cs="Arial"/>
          <w:sz w:val="24"/>
          <w:szCs w:val="24"/>
        </w:rPr>
        <w:t>Social case work is the method employed by social workers to help individuals find solution to problems of social adjustment which they are unable to handle in a satisfactory way by their own efforts. Pakistan suffers with numerous cases of social maladjustment where people are unable to properly take care of themselves hence social case work will study this facet in great detail.</w:t>
      </w:r>
    </w:p>
    <w:p w:rsidR="00F05D11" w:rsidRPr="00106D53" w:rsidRDefault="00F05D11" w:rsidP="00F05D11">
      <w:pPr>
        <w:tabs>
          <w:tab w:val="left" w:pos="1530"/>
        </w:tabs>
        <w:spacing w:after="0" w:line="360" w:lineRule="auto"/>
        <w:rPr>
          <w:rFonts w:ascii="Arial" w:hAnsi="Arial" w:cs="Arial"/>
          <w:b/>
          <w:sz w:val="24"/>
          <w:szCs w:val="24"/>
        </w:rPr>
      </w:pPr>
      <w:r w:rsidRPr="00106D53">
        <w:rPr>
          <w:rFonts w:ascii="Arial" w:hAnsi="Arial" w:cs="Arial"/>
          <w:b/>
          <w:sz w:val="24"/>
          <w:szCs w:val="24"/>
        </w:rPr>
        <w:t>Course Objectives</w:t>
      </w:r>
    </w:p>
    <w:p w:rsidR="00F05D11" w:rsidRPr="00106D53" w:rsidRDefault="00F05D11" w:rsidP="00F05D11">
      <w:pPr>
        <w:tabs>
          <w:tab w:val="left" w:pos="1530"/>
        </w:tabs>
        <w:rPr>
          <w:rFonts w:ascii="Arial" w:hAnsi="Arial" w:cs="Arial"/>
          <w:sz w:val="24"/>
          <w:szCs w:val="24"/>
        </w:rPr>
      </w:pPr>
      <w:r w:rsidRPr="00106D53">
        <w:rPr>
          <w:rFonts w:ascii="Arial" w:hAnsi="Arial" w:cs="Arial"/>
          <w:sz w:val="24"/>
          <w:szCs w:val="24"/>
        </w:rPr>
        <w:t>This course will help students to understand social case work as a method of social work and to make them understand the process and application of social case work. It will also acquaint them with the skills and techniques of social case work practice</w:t>
      </w:r>
    </w:p>
    <w:p w:rsidR="00F05D11" w:rsidRPr="00106D53" w:rsidRDefault="00F05D11" w:rsidP="00F05D11">
      <w:pPr>
        <w:tabs>
          <w:tab w:val="left" w:pos="1530"/>
        </w:tabs>
        <w:spacing w:after="0" w:line="360" w:lineRule="auto"/>
        <w:rPr>
          <w:rFonts w:ascii="Arial" w:hAnsi="Arial" w:cs="Arial"/>
          <w:b/>
          <w:sz w:val="24"/>
          <w:szCs w:val="24"/>
        </w:rPr>
      </w:pPr>
      <w:r w:rsidRPr="00106D53">
        <w:rPr>
          <w:rFonts w:ascii="Arial" w:hAnsi="Arial" w:cs="Arial"/>
          <w:b/>
          <w:sz w:val="24"/>
          <w:szCs w:val="24"/>
        </w:rPr>
        <w:t>Learning Outcomes</w:t>
      </w:r>
    </w:p>
    <w:p w:rsidR="00F05D11" w:rsidRPr="00106D53" w:rsidRDefault="00F05D11" w:rsidP="00F05D11">
      <w:pPr>
        <w:numPr>
          <w:ilvl w:val="0"/>
          <w:numId w:val="1"/>
        </w:numPr>
        <w:spacing w:after="200" w:line="240" w:lineRule="auto"/>
        <w:contextualSpacing/>
        <w:rPr>
          <w:rFonts w:ascii="Arial" w:eastAsia="Calibri" w:hAnsi="Arial" w:cs="Arial"/>
          <w:sz w:val="24"/>
          <w:szCs w:val="24"/>
        </w:rPr>
      </w:pPr>
      <w:r w:rsidRPr="00106D53">
        <w:rPr>
          <w:rFonts w:ascii="Arial" w:eastAsia="Calibri" w:hAnsi="Arial" w:cs="Arial"/>
          <w:sz w:val="24"/>
          <w:szCs w:val="24"/>
        </w:rPr>
        <w:t>Better understanding about social case work method</w:t>
      </w:r>
    </w:p>
    <w:p w:rsidR="00F05D11" w:rsidRPr="00106D53" w:rsidRDefault="00F05D11" w:rsidP="00F05D11">
      <w:pPr>
        <w:numPr>
          <w:ilvl w:val="0"/>
          <w:numId w:val="1"/>
        </w:numPr>
        <w:spacing w:after="200" w:line="240" w:lineRule="auto"/>
        <w:contextualSpacing/>
        <w:rPr>
          <w:rFonts w:ascii="Arial" w:eastAsia="Calibri" w:hAnsi="Arial" w:cs="Arial"/>
          <w:sz w:val="24"/>
          <w:szCs w:val="24"/>
        </w:rPr>
      </w:pPr>
      <w:r w:rsidRPr="00106D53">
        <w:rPr>
          <w:rFonts w:ascii="Arial" w:eastAsia="Calibri" w:hAnsi="Arial" w:cs="Arial"/>
          <w:sz w:val="24"/>
          <w:szCs w:val="24"/>
        </w:rPr>
        <w:t>Equipping with the necessary skills to evaluate social conditions for applying social case work as a method of social work.</w:t>
      </w:r>
    </w:p>
    <w:p w:rsidR="00F05D11" w:rsidRPr="00106D53" w:rsidRDefault="00F05D11" w:rsidP="00F05D11">
      <w:pPr>
        <w:tabs>
          <w:tab w:val="left" w:pos="1530"/>
        </w:tabs>
        <w:rPr>
          <w:rFonts w:ascii="Arial" w:hAnsi="Arial" w:cs="Arial"/>
          <w:b/>
          <w:sz w:val="16"/>
          <w:szCs w:val="24"/>
        </w:rPr>
      </w:pPr>
    </w:p>
    <w:p w:rsidR="00F05D11" w:rsidRPr="00106D53" w:rsidRDefault="00F05D11" w:rsidP="00F05D11">
      <w:pPr>
        <w:tabs>
          <w:tab w:val="left" w:pos="1530"/>
        </w:tabs>
        <w:rPr>
          <w:rFonts w:ascii="Arial" w:hAnsi="Arial" w:cs="Arial"/>
          <w:b/>
          <w:sz w:val="24"/>
          <w:szCs w:val="24"/>
        </w:rPr>
      </w:pPr>
      <w:r w:rsidRPr="00106D53">
        <w:rPr>
          <w:rFonts w:ascii="Arial" w:hAnsi="Arial" w:cs="Arial"/>
          <w:b/>
          <w:sz w:val="24"/>
          <w:szCs w:val="24"/>
        </w:rPr>
        <w:t>Teaching Method</w:t>
      </w:r>
    </w:p>
    <w:p w:rsidR="00F05D11" w:rsidRPr="00106D53" w:rsidRDefault="00F05D11" w:rsidP="00F05D11">
      <w:pPr>
        <w:tabs>
          <w:tab w:val="left" w:pos="1530"/>
        </w:tabs>
        <w:rPr>
          <w:rFonts w:ascii="Arial" w:hAnsi="Arial" w:cs="Arial"/>
          <w:b/>
          <w:sz w:val="24"/>
          <w:szCs w:val="24"/>
        </w:rPr>
      </w:pPr>
      <w:r w:rsidRPr="00106D53">
        <w:rPr>
          <w:rFonts w:ascii="Arial" w:eastAsia="Calibri" w:hAnsi="Arial" w:cs="Arial"/>
          <w:sz w:val="24"/>
          <w:szCs w:val="24"/>
        </w:rPr>
        <w:t xml:space="preserve">This course will be based on interactive discussions; student </w:t>
      </w:r>
      <w:r w:rsidRPr="00106D53">
        <w:rPr>
          <w:rFonts w:ascii="Arial" w:eastAsia="Calibri" w:hAnsi="Arial" w:cs="Arial"/>
          <w:color w:val="000000" w:themeColor="text1"/>
          <w:sz w:val="24"/>
          <w:szCs w:val="24"/>
        </w:rPr>
        <w:t xml:space="preserve">centered </w:t>
      </w:r>
      <w:r w:rsidRPr="00106D53">
        <w:rPr>
          <w:rFonts w:ascii="Arial" w:eastAsia="Calibri" w:hAnsi="Arial" w:cs="Arial"/>
          <w:sz w:val="24"/>
          <w:szCs w:val="24"/>
        </w:rPr>
        <w:t>learning activities and research projects. The preferred teaching approach will be ‘active learning’ in which students solve problems, answer questions, formulate questions of their own, brainstorm, discuss, explain and debate. Also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F05D11" w:rsidRPr="00106D53" w:rsidRDefault="00F05D11" w:rsidP="00F05D11">
      <w:pPr>
        <w:tabs>
          <w:tab w:val="left" w:pos="1530"/>
        </w:tabs>
        <w:rPr>
          <w:rFonts w:ascii="Arial" w:hAnsi="Arial" w:cs="Arial"/>
          <w:b/>
          <w:sz w:val="24"/>
          <w:szCs w:val="24"/>
        </w:rPr>
      </w:pPr>
      <w:r w:rsidRPr="00106D53">
        <w:rPr>
          <w:rFonts w:ascii="Arial" w:hAnsi="Arial" w:cs="Arial"/>
          <w:b/>
          <w:sz w:val="24"/>
          <w:szCs w:val="24"/>
        </w:rPr>
        <w:t>Course Content</w:t>
      </w:r>
    </w:p>
    <w:p w:rsidR="00F05D11" w:rsidRPr="00106D53" w:rsidRDefault="00F05D11" w:rsidP="00F05D11">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Social Casework – Definition and Historical development of Social Casework </w:t>
      </w:r>
    </w:p>
    <w:p w:rsidR="00F05D11" w:rsidRPr="00106D53" w:rsidRDefault="00F05D11" w:rsidP="00F05D11">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Objectives of working with individuals </w:t>
      </w:r>
    </w:p>
    <w:p w:rsidR="00F05D11" w:rsidRPr="00106D53" w:rsidRDefault="00F05D11" w:rsidP="00F05D11">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Values, Principles and Components of case work</w:t>
      </w:r>
    </w:p>
    <w:p w:rsidR="00F05D11" w:rsidRPr="00106D53" w:rsidRDefault="00F05D11" w:rsidP="00F05D11">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Approaches and Models of case work</w:t>
      </w:r>
    </w:p>
    <w:p w:rsidR="00F05D11" w:rsidRPr="00106D53" w:rsidRDefault="00F05D11" w:rsidP="00F05D11">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Understanding clients and their contexts</w:t>
      </w:r>
    </w:p>
    <w:p w:rsidR="00F05D11" w:rsidRPr="00106D53" w:rsidRDefault="00F05D11" w:rsidP="00F05D11">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Casework Process</w:t>
      </w:r>
    </w:p>
    <w:p w:rsidR="00F05D11" w:rsidRPr="00106D53" w:rsidRDefault="00F05D11" w:rsidP="00F05D11">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case work skills, Tools and techniques </w:t>
      </w:r>
    </w:p>
    <w:p w:rsidR="00F05D11" w:rsidRPr="00106D53" w:rsidRDefault="00F05D11" w:rsidP="00F05D11">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Field work in different settings </w:t>
      </w:r>
    </w:p>
    <w:p w:rsidR="00F05D11" w:rsidRPr="00106D53" w:rsidRDefault="00F05D11" w:rsidP="00F05D11">
      <w:pPr>
        <w:tabs>
          <w:tab w:val="left" w:pos="1530"/>
        </w:tabs>
        <w:spacing w:after="0" w:line="360" w:lineRule="auto"/>
        <w:rPr>
          <w:rFonts w:ascii="Arial" w:hAnsi="Arial" w:cs="Arial"/>
          <w:b/>
          <w:sz w:val="24"/>
          <w:szCs w:val="24"/>
        </w:rPr>
      </w:pPr>
    </w:p>
    <w:p w:rsidR="00F05D11" w:rsidRPr="00106D53" w:rsidRDefault="00F05D11" w:rsidP="00F05D11">
      <w:pPr>
        <w:tabs>
          <w:tab w:val="left" w:pos="1530"/>
        </w:tabs>
        <w:spacing w:after="0" w:line="360" w:lineRule="auto"/>
        <w:rPr>
          <w:rFonts w:ascii="Arial" w:hAnsi="Arial" w:cs="Arial"/>
          <w:b/>
          <w:sz w:val="24"/>
          <w:szCs w:val="24"/>
        </w:rPr>
      </w:pPr>
      <w:r w:rsidRPr="00106D53">
        <w:rPr>
          <w:rFonts w:ascii="Arial" w:hAnsi="Arial" w:cs="Arial"/>
          <w:b/>
          <w:sz w:val="24"/>
          <w:szCs w:val="24"/>
        </w:rPr>
        <w:t>Suggested Readings</w:t>
      </w:r>
    </w:p>
    <w:p w:rsidR="00F05D11" w:rsidRPr="00106D53" w:rsidRDefault="00F05D11" w:rsidP="00F05D11">
      <w:pPr>
        <w:spacing w:after="0" w:line="240" w:lineRule="auto"/>
        <w:rPr>
          <w:rFonts w:ascii="Arial" w:hAnsi="Arial" w:cs="Arial"/>
          <w:sz w:val="24"/>
          <w:szCs w:val="24"/>
        </w:rPr>
      </w:pPr>
      <w:proofErr w:type="spellStart"/>
      <w:r w:rsidRPr="00106D53">
        <w:rPr>
          <w:rFonts w:ascii="Arial" w:hAnsi="Arial" w:cs="Arial"/>
          <w:sz w:val="24"/>
          <w:szCs w:val="24"/>
        </w:rPr>
        <w:t>Deve</w:t>
      </w:r>
      <w:proofErr w:type="spellEnd"/>
      <w:r w:rsidRPr="00106D53">
        <w:rPr>
          <w:rFonts w:ascii="Arial" w:hAnsi="Arial" w:cs="Arial"/>
          <w:sz w:val="24"/>
          <w:szCs w:val="24"/>
        </w:rPr>
        <w:t xml:space="preserve">, R. &amp; Prakash, R. (2014). Social Work Methods, Practices and Perspective. Jaipur. </w:t>
      </w:r>
      <w:proofErr w:type="spellStart"/>
      <w:r w:rsidRPr="00106D53">
        <w:rPr>
          <w:rFonts w:ascii="Arial" w:hAnsi="Arial" w:cs="Arial"/>
          <w:sz w:val="24"/>
          <w:szCs w:val="24"/>
        </w:rPr>
        <w:t>Mangal</w:t>
      </w:r>
      <w:proofErr w:type="spellEnd"/>
      <w:r w:rsidRPr="00106D53">
        <w:rPr>
          <w:rFonts w:ascii="Arial" w:hAnsi="Arial" w:cs="Arial"/>
          <w:sz w:val="24"/>
          <w:szCs w:val="24"/>
        </w:rPr>
        <w:t xml:space="preserve"> Deep. </w:t>
      </w:r>
    </w:p>
    <w:p w:rsidR="00F05D11" w:rsidRPr="00106D53" w:rsidRDefault="00F05D11" w:rsidP="00F05D11">
      <w:pPr>
        <w:spacing w:after="0" w:line="240" w:lineRule="auto"/>
        <w:rPr>
          <w:rFonts w:ascii="Arial" w:hAnsi="Arial" w:cs="Arial"/>
          <w:sz w:val="24"/>
          <w:szCs w:val="24"/>
        </w:rPr>
      </w:pPr>
      <w:r w:rsidRPr="00106D53">
        <w:rPr>
          <w:rFonts w:ascii="Arial" w:hAnsi="Arial" w:cs="Arial"/>
          <w:sz w:val="24"/>
          <w:szCs w:val="24"/>
        </w:rPr>
        <w:lastRenderedPageBreak/>
        <w:t xml:space="preserve">Janet, S. (2005). Counselling Skills in Social Work Practice. Open University Press, Buckingham. Philadelphia. </w:t>
      </w:r>
    </w:p>
    <w:p w:rsidR="00F05D11" w:rsidRPr="00106D53" w:rsidRDefault="00F05D11" w:rsidP="00F05D11">
      <w:pPr>
        <w:spacing w:after="0" w:line="240" w:lineRule="auto"/>
        <w:rPr>
          <w:rFonts w:ascii="Arial" w:hAnsi="Arial" w:cs="Arial"/>
          <w:sz w:val="24"/>
          <w:szCs w:val="24"/>
        </w:rPr>
      </w:pPr>
      <w:r w:rsidRPr="00106D53">
        <w:rPr>
          <w:rFonts w:ascii="Arial" w:hAnsi="Arial" w:cs="Arial"/>
          <w:sz w:val="24"/>
          <w:szCs w:val="24"/>
        </w:rPr>
        <w:t xml:space="preserve">Khalid, Muhammad. (2014). Social Work: Theory and Practice. </w:t>
      </w:r>
      <w:proofErr w:type="spellStart"/>
      <w:r w:rsidRPr="00106D53">
        <w:rPr>
          <w:rFonts w:ascii="Arial" w:hAnsi="Arial" w:cs="Arial"/>
          <w:sz w:val="24"/>
          <w:szCs w:val="24"/>
        </w:rPr>
        <w:t>Kifayat</w:t>
      </w:r>
      <w:proofErr w:type="spellEnd"/>
      <w:r w:rsidRPr="00106D53">
        <w:rPr>
          <w:rFonts w:ascii="Arial" w:hAnsi="Arial" w:cs="Arial"/>
          <w:sz w:val="24"/>
          <w:szCs w:val="24"/>
        </w:rPr>
        <w:t xml:space="preserve"> Academy. Karachi.</w:t>
      </w:r>
    </w:p>
    <w:p w:rsidR="00F05D11" w:rsidRPr="00106D53" w:rsidRDefault="00F05D11" w:rsidP="00F05D11">
      <w:pPr>
        <w:spacing w:after="0" w:line="240" w:lineRule="auto"/>
        <w:rPr>
          <w:rFonts w:ascii="Arial" w:hAnsi="Arial" w:cs="Arial"/>
          <w:sz w:val="24"/>
          <w:szCs w:val="24"/>
        </w:rPr>
      </w:pPr>
      <w:r w:rsidRPr="00106D53">
        <w:rPr>
          <w:rFonts w:ascii="Arial" w:hAnsi="Arial" w:cs="Arial"/>
          <w:sz w:val="24"/>
          <w:szCs w:val="24"/>
        </w:rPr>
        <w:t>Mathew, G. (1992). An Introduction to Social Case Work. Tata Institute of Social Science. Bombay.</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48F5"/>
    <w:multiLevelType w:val="hybridMultilevel"/>
    <w:tmpl w:val="2EBA1A84"/>
    <w:lvl w:ilvl="0" w:tplc="38F0C6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C16FE"/>
    <w:multiLevelType w:val="hybridMultilevel"/>
    <w:tmpl w:val="68F0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11"/>
    <w:rsid w:val="00BD23F4"/>
    <w:rsid w:val="00F0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7F97D-3086-443A-9D29-CA37DCC9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11"/>
  </w:style>
  <w:style w:type="paragraph" w:styleId="Heading2">
    <w:name w:val="heading 2"/>
    <w:basedOn w:val="Normal"/>
    <w:next w:val="Normal"/>
    <w:link w:val="Heading2Char"/>
    <w:uiPriority w:val="9"/>
    <w:unhideWhenUsed/>
    <w:qFormat/>
    <w:rsid w:val="00F05D11"/>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D11"/>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2022-03-31T07:55:00Z</dcterms:created>
  <dcterms:modified xsi:type="dcterms:W3CDTF">2022-03-31T07:55:00Z</dcterms:modified>
</cp:coreProperties>
</file>