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050" w:rsidRPr="00106D53" w:rsidRDefault="003D7050" w:rsidP="003D7050">
      <w:pPr>
        <w:pStyle w:val="Heading2"/>
        <w:rPr>
          <w:rFonts w:ascii="Arial" w:hAnsi="Arial" w:cs="Arial"/>
        </w:rPr>
      </w:pPr>
      <w:r w:rsidRPr="00106D53">
        <w:rPr>
          <w:rFonts w:ascii="Arial" w:hAnsi="Arial" w:cs="Arial"/>
        </w:rPr>
        <w:t>Social Gerontology</w:t>
      </w:r>
    </w:p>
    <w:p w:rsidR="003D7050" w:rsidRPr="00106D53" w:rsidRDefault="003D7050" w:rsidP="003D7050">
      <w:pPr>
        <w:spacing w:after="0" w:line="360" w:lineRule="auto"/>
        <w:rPr>
          <w:rFonts w:ascii="Arial" w:hAnsi="Arial" w:cs="Arial"/>
          <w:b/>
          <w:sz w:val="24"/>
          <w:szCs w:val="28"/>
        </w:rPr>
      </w:pPr>
      <w:r w:rsidRPr="00106D53">
        <w:rPr>
          <w:rFonts w:ascii="Arial" w:hAnsi="Arial" w:cs="Arial"/>
          <w:b/>
          <w:sz w:val="24"/>
          <w:szCs w:val="28"/>
        </w:rPr>
        <w:t>Course Description</w:t>
      </w:r>
    </w:p>
    <w:p w:rsidR="003D7050" w:rsidRPr="00106D53" w:rsidRDefault="003D7050" w:rsidP="003D7050">
      <w:pPr>
        <w:spacing w:line="240" w:lineRule="auto"/>
        <w:rPr>
          <w:rFonts w:ascii="Arial" w:hAnsi="Arial" w:cs="Arial"/>
          <w:color w:val="222222"/>
          <w:sz w:val="24"/>
          <w:szCs w:val="24"/>
          <w:shd w:val="clear" w:color="auto" w:fill="FFFFFF"/>
        </w:rPr>
      </w:pPr>
      <w:r w:rsidRPr="00106D53">
        <w:rPr>
          <w:rFonts w:ascii="Arial" w:hAnsi="Arial" w:cs="Arial"/>
          <w:color w:val="222222"/>
          <w:sz w:val="24"/>
          <w:szCs w:val="24"/>
          <w:shd w:val="clear" w:color="auto" w:fill="FFFFFF"/>
        </w:rPr>
        <w:t>This course relates to social aspects of getting old. The course focuses on improving the social interactions between older people and rest of the society. Special attention is paid to enriching relationships between older people, their families, peers and healthcare professionals.</w:t>
      </w:r>
    </w:p>
    <w:p w:rsidR="003D7050" w:rsidRPr="00106D53" w:rsidRDefault="003D7050" w:rsidP="003D7050">
      <w:pPr>
        <w:spacing w:after="0" w:line="360" w:lineRule="auto"/>
        <w:rPr>
          <w:rFonts w:ascii="Arial" w:hAnsi="Arial" w:cs="Arial"/>
          <w:b/>
          <w:sz w:val="24"/>
          <w:szCs w:val="28"/>
        </w:rPr>
      </w:pPr>
      <w:r w:rsidRPr="00106D53">
        <w:rPr>
          <w:rFonts w:ascii="Arial" w:hAnsi="Arial" w:cs="Arial"/>
          <w:b/>
          <w:sz w:val="24"/>
          <w:szCs w:val="28"/>
        </w:rPr>
        <w:t>Course Objectives</w:t>
      </w:r>
    </w:p>
    <w:p w:rsidR="003D7050" w:rsidRPr="00106D53" w:rsidRDefault="003D7050" w:rsidP="003D7050">
      <w:pPr>
        <w:rPr>
          <w:rFonts w:ascii="Arial" w:hAnsi="Arial" w:cs="Arial"/>
          <w:color w:val="222222"/>
          <w:sz w:val="24"/>
          <w:szCs w:val="24"/>
          <w:shd w:val="clear" w:color="auto" w:fill="FFFFFF"/>
        </w:rPr>
      </w:pPr>
      <w:r w:rsidRPr="00106D53">
        <w:rPr>
          <w:rFonts w:ascii="Arial" w:hAnsi="Arial" w:cs="Arial"/>
          <w:color w:val="222222"/>
          <w:sz w:val="24"/>
          <w:szCs w:val="24"/>
          <w:shd w:val="clear" w:color="auto" w:fill="FFFFFF"/>
        </w:rPr>
        <w:t>This course aims to offer an understanding on aging with special reference to social aspects. The course will also familiarize the students about the welfare services for elderly in Pakistan</w:t>
      </w:r>
    </w:p>
    <w:p w:rsidR="003D7050" w:rsidRPr="00106D53" w:rsidRDefault="003D7050" w:rsidP="003D7050">
      <w:pPr>
        <w:spacing w:after="0" w:line="360" w:lineRule="auto"/>
        <w:rPr>
          <w:rFonts w:ascii="Arial" w:hAnsi="Arial" w:cs="Arial"/>
          <w:b/>
          <w:sz w:val="24"/>
          <w:szCs w:val="28"/>
        </w:rPr>
      </w:pPr>
      <w:r w:rsidRPr="00106D53">
        <w:rPr>
          <w:rFonts w:ascii="Arial" w:hAnsi="Arial" w:cs="Arial"/>
          <w:b/>
          <w:sz w:val="24"/>
          <w:szCs w:val="28"/>
        </w:rPr>
        <w:t>Learning Outcomes</w:t>
      </w:r>
    </w:p>
    <w:p w:rsidR="003D7050" w:rsidRPr="00106D53" w:rsidRDefault="003D7050" w:rsidP="003D7050">
      <w:pPr>
        <w:numPr>
          <w:ilvl w:val="0"/>
          <w:numId w:val="2"/>
        </w:numPr>
        <w:spacing w:after="200" w:line="240" w:lineRule="auto"/>
        <w:contextualSpacing/>
        <w:rPr>
          <w:rFonts w:ascii="Arial" w:eastAsia="Calibri" w:hAnsi="Arial" w:cs="Arial"/>
          <w:sz w:val="24"/>
          <w:szCs w:val="24"/>
        </w:rPr>
      </w:pPr>
      <w:r w:rsidRPr="00106D53">
        <w:rPr>
          <w:rFonts w:ascii="Arial" w:eastAsia="Calibri" w:hAnsi="Arial" w:cs="Arial"/>
          <w:sz w:val="24"/>
          <w:szCs w:val="24"/>
        </w:rPr>
        <w:t>The students will be able to understand the sensitivities and issues attached with aging process</w:t>
      </w:r>
    </w:p>
    <w:p w:rsidR="003D7050" w:rsidRPr="00106D53" w:rsidRDefault="003D7050" w:rsidP="003D7050">
      <w:pPr>
        <w:numPr>
          <w:ilvl w:val="0"/>
          <w:numId w:val="1"/>
        </w:numPr>
        <w:spacing w:after="200" w:line="240" w:lineRule="auto"/>
        <w:contextualSpacing/>
        <w:rPr>
          <w:rFonts w:ascii="Arial" w:eastAsia="Calibri" w:hAnsi="Arial" w:cs="Arial"/>
          <w:b/>
          <w:sz w:val="24"/>
          <w:szCs w:val="24"/>
        </w:rPr>
      </w:pPr>
      <w:r w:rsidRPr="00106D53">
        <w:rPr>
          <w:rFonts w:ascii="Arial" w:eastAsia="Calibri" w:hAnsi="Arial" w:cs="Arial"/>
          <w:sz w:val="24"/>
          <w:szCs w:val="24"/>
        </w:rPr>
        <w:t>The students will be able to introduce contextualized interventions to improve life quality of older people</w:t>
      </w:r>
      <w:r w:rsidRPr="00106D53">
        <w:rPr>
          <w:rFonts w:ascii="Arial" w:eastAsia="Calibri" w:hAnsi="Arial" w:cs="Arial"/>
          <w:b/>
          <w:sz w:val="24"/>
          <w:szCs w:val="24"/>
        </w:rPr>
        <w:t xml:space="preserve">. </w:t>
      </w:r>
    </w:p>
    <w:p w:rsidR="003D7050" w:rsidRPr="00106D53" w:rsidRDefault="003D7050" w:rsidP="003D7050">
      <w:pPr>
        <w:spacing w:after="0" w:line="360" w:lineRule="auto"/>
        <w:rPr>
          <w:rFonts w:ascii="Arial" w:hAnsi="Arial" w:cs="Arial"/>
          <w:b/>
          <w:sz w:val="24"/>
          <w:szCs w:val="28"/>
        </w:rPr>
      </w:pPr>
    </w:p>
    <w:p w:rsidR="003D7050" w:rsidRPr="00106D53" w:rsidRDefault="003D7050" w:rsidP="003D7050">
      <w:pPr>
        <w:spacing w:after="0" w:line="360" w:lineRule="auto"/>
        <w:rPr>
          <w:rFonts w:ascii="Arial" w:hAnsi="Arial" w:cs="Arial"/>
          <w:b/>
          <w:sz w:val="24"/>
          <w:szCs w:val="28"/>
        </w:rPr>
      </w:pPr>
      <w:r w:rsidRPr="00106D53">
        <w:rPr>
          <w:rFonts w:ascii="Arial" w:hAnsi="Arial" w:cs="Arial"/>
          <w:b/>
          <w:sz w:val="24"/>
          <w:szCs w:val="28"/>
        </w:rPr>
        <w:t>Teaching Method</w:t>
      </w:r>
    </w:p>
    <w:p w:rsidR="003D7050" w:rsidRPr="00106D53" w:rsidRDefault="003D7050" w:rsidP="003D7050">
      <w:pPr>
        <w:spacing w:line="276" w:lineRule="auto"/>
        <w:rPr>
          <w:rFonts w:ascii="Arial" w:eastAsia="Calibri" w:hAnsi="Arial" w:cs="Arial"/>
          <w:sz w:val="24"/>
          <w:szCs w:val="24"/>
        </w:rPr>
      </w:pPr>
      <w:r w:rsidRPr="00106D53">
        <w:rPr>
          <w:rFonts w:ascii="Arial" w:eastAsia="Calibri" w:hAnsi="Arial" w:cs="Arial"/>
          <w:sz w:val="24"/>
          <w:szCs w:val="24"/>
        </w:rPr>
        <w:t>This course will be based on interactive discussions; student centered learning activities and research projects. The preferred teaching approach will be ‘active learning’ in which students solve problems, answer questions, formulate questions of their own, brainstorm, discuss, explain and debate. Co-operative learning will be encouraged through group discussions, assignments and projects. Periodical assessments and evaluation through class participation, quizzes, assigned tasks, research project, Mid Term and End Term examinations will be a part of this course.</w:t>
      </w:r>
    </w:p>
    <w:p w:rsidR="003D7050" w:rsidRPr="00106D53" w:rsidRDefault="003D7050" w:rsidP="003D7050">
      <w:pPr>
        <w:spacing w:after="0" w:line="360" w:lineRule="auto"/>
        <w:rPr>
          <w:rFonts w:ascii="Arial" w:hAnsi="Arial" w:cs="Arial"/>
          <w:b/>
          <w:sz w:val="24"/>
          <w:szCs w:val="28"/>
        </w:rPr>
      </w:pPr>
      <w:r w:rsidRPr="00106D53">
        <w:rPr>
          <w:rFonts w:ascii="Arial" w:hAnsi="Arial" w:cs="Arial"/>
          <w:b/>
          <w:sz w:val="24"/>
          <w:szCs w:val="28"/>
        </w:rPr>
        <w:t>Course Content</w:t>
      </w:r>
    </w:p>
    <w:p w:rsidR="003D7050" w:rsidRPr="00106D53" w:rsidRDefault="003D7050" w:rsidP="003D7050">
      <w:pPr>
        <w:numPr>
          <w:ilvl w:val="0"/>
          <w:numId w:val="3"/>
        </w:numPr>
        <w:spacing w:after="0" w:line="240" w:lineRule="auto"/>
        <w:contextualSpacing/>
        <w:rPr>
          <w:rFonts w:ascii="Arial" w:hAnsi="Arial" w:cs="Arial"/>
          <w:b/>
          <w:sz w:val="24"/>
          <w:szCs w:val="24"/>
        </w:rPr>
      </w:pPr>
      <w:r w:rsidRPr="00106D53">
        <w:rPr>
          <w:rFonts w:ascii="Arial" w:hAnsi="Arial" w:cs="Arial"/>
          <w:sz w:val="24"/>
          <w:szCs w:val="24"/>
        </w:rPr>
        <w:t xml:space="preserve">Meaning, definition and importance of Social Gerontology   </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Social and biological context of aging.</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Religious concept of Aging and Aged</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Theories of Aging</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Social Problems of Aging and the Aged </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Psychological Problems </w:t>
      </w:r>
    </w:p>
    <w:p w:rsidR="003D7050" w:rsidRPr="00106D53" w:rsidRDefault="003D7050" w:rsidP="003D7050">
      <w:pPr>
        <w:numPr>
          <w:ilvl w:val="0"/>
          <w:numId w:val="3"/>
        </w:numPr>
        <w:spacing w:after="0" w:line="240" w:lineRule="auto"/>
        <w:contextualSpacing/>
        <w:rPr>
          <w:rFonts w:ascii="Arial" w:hAnsi="Arial" w:cs="Arial"/>
          <w:b/>
          <w:sz w:val="24"/>
          <w:szCs w:val="24"/>
        </w:rPr>
      </w:pPr>
      <w:r w:rsidRPr="00106D53">
        <w:rPr>
          <w:rFonts w:ascii="Arial" w:hAnsi="Arial" w:cs="Arial"/>
          <w:sz w:val="24"/>
          <w:szCs w:val="24"/>
        </w:rPr>
        <w:t>Physical Problems</w:t>
      </w:r>
    </w:p>
    <w:p w:rsidR="003D7050" w:rsidRPr="00106D53" w:rsidRDefault="003D7050" w:rsidP="003D7050">
      <w:pPr>
        <w:numPr>
          <w:ilvl w:val="0"/>
          <w:numId w:val="3"/>
        </w:numPr>
        <w:spacing w:after="0" w:line="240" w:lineRule="auto"/>
        <w:contextualSpacing/>
        <w:rPr>
          <w:rFonts w:ascii="Arial" w:hAnsi="Arial" w:cs="Arial"/>
          <w:b/>
          <w:sz w:val="24"/>
          <w:szCs w:val="24"/>
        </w:rPr>
      </w:pPr>
      <w:r w:rsidRPr="00106D53">
        <w:rPr>
          <w:rFonts w:ascii="Arial" w:hAnsi="Arial" w:cs="Arial"/>
          <w:sz w:val="24"/>
          <w:szCs w:val="24"/>
        </w:rPr>
        <w:t>Economic Problems</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Legislation and Social Welfare Services for Aging and the Aged in Pakistan </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 xml:space="preserve">Organizations working for the Aging and the Aged  </w:t>
      </w:r>
    </w:p>
    <w:p w:rsidR="003D7050" w:rsidRPr="00106D53" w:rsidRDefault="003D7050" w:rsidP="003D7050">
      <w:pPr>
        <w:numPr>
          <w:ilvl w:val="0"/>
          <w:numId w:val="3"/>
        </w:numPr>
        <w:spacing w:after="0" w:line="240" w:lineRule="auto"/>
        <w:contextualSpacing/>
        <w:rPr>
          <w:rFonts w:ascii="Arial" w:hAnsi="Arial" w:cs="Arial"/>
          <w:sz w:val="24"/>
          <w:szCs w:val="24"/>
        </w:rPr>
      </w:pPr>
      <w:r w:rsidRPr="00106D53">
        <w:rPr>
          <w:rFonts w:ascii="Arial" w:hAnsi="Arial" w:cs="Arial"/>
          <w:sz w:val="24"/>
          <w:szCs w:val="24"/>
        </w:rPr>
        <w:t>Role of Professional Social Worker in social gerontology</w:t>
      </w:r>
    </w:p>
    <w:p w:rsidR="003D7050" w:rsidRPr="00106D53" w:rsidRDefault="003D7050" w:rsidP="003D7050">
      <w:pPr>
        <w:numPr>
          <w:ilvl w:val="0"/>
          <w:numId w:val="3"/>
        </w:numPr>
        <w:spacing w:after="0" w:line="240" w:lineRule="auto"/>
        <w:contextualSpacing/>
        <w:rPr>
          <w:rFonts w:ascii="Arial" w:hAnsi="Arial" w:cs="Arial"/>
          <w:b/>
          <w:sz w:val="24"/>
          <w:szCs w:val="24"/>
        </w:rPr>
      </w:pPr>
      <w:r w:rsidRPr="00106D53">
        <w:rPr>
          <w:rFonts w:ascii="Arial" w:hAnsi="Arial" w:cs="Arial"/>
          <w:sz w:val="24"/>
          <w:szCs w:val="24"/>
        </w:rPr>
        <w:t xml:space="preserve">Field work </w:t>
      </w:r>
    </w:p>
    <w:p w:rsidR="003D7050" w:rsidRPr="00106D53" w:rsidRDefault="003D7050" w:rsidP="003D7050">
      <w:pPr>
        <w:spacing w:after="0" w:line="360" w:lineRule="auto"/>
        <w:rPr>
          <w:rFonts w:ascii="Arial" w:hAnsi="Arial" w:cs="Arial"/>
          <w:b/>
          <w:sz w:val="14"/>
          <w:szCs w:val="28"/>
        </w:rPr>
      </w:pPr>
    </w:p>
    <w:p w:rsidR="003D7050" w:rsidRPr="00106D53" w:rsidRDefault="003D7050" w:rsidP="003D7050">
      <w:pPr>
        <w:spacing w:after="0" w:line="360" w:lineRule="auto"/>
        <w:rPr>
          <w:rFonts w:ascii="Arial" w:hAnsi="Arial" w:cs="Arial"/>
          <w:b/>
          <w:sz w:val="24"/>
          <w:szCs w:val="28"/>
        </w:rPr>
      </w:pPr>
      <w:r w:rsidRPr="00106D53">
        <w:rPr>
          <w:rFonts w:ascii="Arial" w:hAnsi="Arial" w:cs="Arial"/>
          <w:b/>
          <w:sz w:val="24"/>
          <w:szCs w:val="28"/>
        </w:rPr>
        <w:lastRenderedPageBreak/>
        <w:t>Suggested Readings</w:t>
      </w:r>
    </w:p>
    <w:p w:rsidR="003D7050" w:rsidRPr="00106D53" w:rsidRDefault="003D7050" w:rsidP="003D7050">
      <w:pPr>
        <w:spacing w:after="0" w:line="240" w:lineRule="auto"/>
        <w:rPr>
          <w:rFonts w:ascii="Arial" w:hAnsi="Arial" w:cs="Arial"/>
          <w:color w:val="222222"/>
          <w:sz w:val="24"/>
          <w:szCs w:val="24"/>
          <w:shd w:val="clear" w:color="auto" w:fill="FFFFFF"/>
        </w:rPr>
      </w:pPr>
      <w:proofErr w:type="spellStart"/>
      <w:r w:rsidRPr="00106D53">
        <w:rPr>
          <w:rFonts w:ascii="Arial" w:hAnsi="Arial" w:cs="Arial"/>
          <w:color w:val="222222"/>
          <w:sz w:val="24"/>
          <w:szCs w:val="24"/>
          <w:shd w:val="clear" w:color="auto" w:fill="FFFFFF"/>
        </w:rPr>
        <w:t>Hooyman</w:t>
      </w:r>
      <w:proofErr w:type="spellEnd"/>
      <w:r w:rsidRPr="00106D53">
        <w:rPr>
          <w:rFonts w:ascii="Arial" w:hAnsi="Arial" w:cs="Arial"/>
          <w:color w:val="222222"/>
          <w:sz w:val="24"/>
          <w:szCs w:val="24"/>
          <w:shd w:val="clear" w:color="auto" w:fill="FFFFFF"/>
        </w:rPr>
        <w:t xml:space="preserve">, N. R., Kawamoto, K. Y., &amp; </w:t>
      </w:r>
      <w:proofErr w:type="spellStart"/>
      <w:r w:rsidRPr="00106D53">
        <w:rPr>
          <w:rFonts w:ascii="Arial" w:hAnsi="Arial" w:cs="Arial"/>
          <w:color w:val="222222"/>
          <w:sz w:val="24"/>
          <w:szCs w:val="24"/>
          <w:shd w:val="clear" w:color="auto" w:fill="FFFFFF"/>
        </w:rPr>
        <w:t>Kiyak</w:t>
      </w:r>
      <w:proofErr w:type="spellEnd"/>
      <w:r w:rsidRPr="00106D53">
        <w:rPr>
          <w:rFonts w:ascii="Arial" w:hAnsi="Arial" w:cs="Arial"/>
          <w:color w:val="222222"/>
          <w:sz w:val="24"/>
          <w:szCs w:val="24"/>
          <w:shd w:val="clear" w:color="auto" w:fill="FFFFFF"/>
        </w:rPr>
        <w:t>, H. A. (2014). </w:t>
      </w:r>
      <w:r w:rsidRPr="00106D53">
        <w:rPr>
          <w:rFonts w:ascii="Arial" w:hAnsi="Arial" w:cs="Arial"/>
          <w:i/>
          <w:iCs/>
          <w:color w:val="222222"/>
          <w:sz w:val="24"/>
          <w:szCs w:val="24"/>
          <w:shd w:val="clear" w:color="auto" w:fill="FFFFFF"/>
        </w:rPr>
        <w:t>Aging matters: An introduction to social gerontology</w:t>
      </w:r>
      <w:r w:rsidRPr="00106D53">
        <w:rPr>
          <w:rFonts w:ascii="Arial" w:hAnsi="Arial" w:cs="Arial"/>
          <w:color w:val="222222"/>
          <w:sz w:val="24"/>
          <w:szCs w:val="24"/>
          <w:shd w:val="clear" w:color="auto" w:fill="FFFFFF"/>
        </w:rPr>
        <w:t>. Pearson Higher Ed.</w:t>
      </w:r>
    </w:p>
    <w:p w:rsidR="003D7050" w:rsidRPr="00106D53" w:rsidRDefault="003D7050" w:rsidP="003D7050">
      <w:pPr>
        <w:spacing w:after="0" w:line="240" w:lineRule="auto"/>
        <w:rPr>
          <w:rFonts w:ascii="Arial" w:hAnsi="Arial" w:cs="Arial"/>
          <w:sz w:val="24"/>
          <w:szCs w:val="24"/>
        </w:rPr>
      </w:pPr>
      <w:r w:rsidRPr="00106D53">
        <w:rPr>
          <w:rFonts w:ascii="Arial" w:hAnsi="Arial" w:cs="Arial"/>
          <w:sz w:val="24"/>
          <w:szCs w:val="24"/>
        </w:rPr>
        <w:t xml:space="preserve">Hamilton, I. S. (2000). </w:t>
      </w:r>
      <w:r w:rsidRPr="00106D53">
        <w:rPr>
          <w:rFonts w:ascii="Arial" w:hAnsi="Arial" w:cs="Arial"/>
          <w:i/>
          <w:sz w:val="24"/>
          <w:szCs w:val="24"/>
        </w:rPr>
        <w:t>The Psychology of Ageing: An Introduction</w:t>
      </w:r>
      <w:r w:rsidRPr="00106D53">
        <w:rPr>
          <w:rFonts w:ascii="Arial" w:hAnsi="Arial" w:cs="Arial"/>
          <w:sz w:val="24"/>
          <w:szCs w:val="24"/>
        </w:rPr>
        <w:t>. London: Jessica Kingsley Publishers.</w:t>
      </w:r>
      <w:r w:rsidRPr="00106D53">
        <w:rPr>
          <w:rFonts w:ascii="Arial" w:hAnsi="Arial" w:cs="Arial"/>
          <w:i/>
          <w:sz w:val="24"/>
          <w:szCs w:val="24"/>
        </w:rPr>
        <w:t xml:space="preserve"> </w:t>
      </w:r>
    </w:p>
    <w:p w:rsidR="003D7050" w:rsidRPr="00106D53" w:rsidRDefault="003D7050" w:rsidP="003D7050">
      <w:pPr>
        <w:spacing w:after="0" w:line="240" w:lineRule="auto"/>
        <w:rPr>
          <w:rFonts w:ascii="Arial" w:hAnsi="Arial" w:cs="Arial"/>
          <w:sz w:val="24"/>
          <w:szCs w:val="24"/>
        </w:rPr>
      </w:pPr>
      <w:proofErr w:type="spellStart"/>
      <w:r w:rsidRPr="00106D53">
        <w:rPr>
          <w:rFonts w:ascii="Arial" w:hAnsi="Arial" w:cs="Arial"/>
          <w:sz w:val="24"/>
          <w:szCs w:val="24"/>
        </w:rPr>
        <w:t>Hooyman</w:t>
      </w:r>
      <w:proofErr w:type="spellEnd"/>
      <w:r w:rsidRPr="00106D53">
        <w:rPr>
          <w:rFonts w:ascii="Arial" w:hAnsi="Arial" w:cs="Arial"/>
          <w:sz w:val="24"/>
          <w:szCs w:val="24"/>
        </w:rPr>
        <w:t xml:space="preserve">, N. &amp; </w:t>
      </w:r>
      <w:proofErr w:type="spellStart"/>
      <w:r w:rsidRPr="00106D53">
        <w:rPr>
          <w:rFonts w:ascii="Arial" w:hAnsi="Arial" w:cs="Arial"/>
          <w:sz w:val="24"/>
          <w:szCs w:val="24"/>
        </w:rPr>
        <w:t>Kiyak</w:t>
      </w:r>
      <w:proofErr w:type="spellEnd"/>
      <w:r w:rsidRPr="00106D53">
        <w:rPr>
          <w:rFonts w:ascii="Arial" w:hAnsi="Arial" w:cs="Arial"/>
          <w:sz w:val="24"/>
          <w:szCs w:val="24"/>
        </w:rPr>
        <w:t xml:space="preserve">, H. A. (2007). </w:t>
      </w:r>
      <w:r w:rsidRPr="00106D53">
        <w:rPr>
          <w:rFonts w:ascii="Arial" w:hAnsi="Arial" w:cs="Arial"/>
          <w:i/>
          <w:sz w:val="24"/>
          <w:szCs w:val="24"/>
        </w:rPr>
        <w:t xml:space="preserve">Social Gerontology; </w:t>
      </w:r>
      <w:proofErr w:type="gramStart"/>
      <w:r w:rsidRPr="00106D53">
        <w:rPr>
          <w:rFonts w:ascii="Arial" w:hAnsi="Arial" w:cs="Arial"/>
          <w:i/>
          <w:sz w:val="24"/>
          <w:szCs w:val="24"/>
        </w:rPr>
        <w:t>A</w:t>
      </w:r>
      <w:proofErr w:type="gramEnd"/>
      <w:r w:rsidRPr="00106D53">
        <w:rPr>
          <w:rFonts w:ascii="Arial" w:hAnsi="Arial" w:cs="Arial"/>
          <w:i/>
          <w:sz w:val="24"/>
          <w:szCs w:val="24"/>
        </w:rPr>
        <w:t xml:space="preserve"> Multidisciplinary Perspective.</w:t>
      </w:r>
      <w:r w:rsidRPr="00106D53">
        <w:rPr>
          <w:rFonts w:ascii="Arial" w:hAnsi="Arial" w:cs="Arial"/>
          <w:sz w:val="24"/>
          <w:szCs w:val="24"/>
        </w:rPr>
        <w:t xml:space="preserve"> Boston: Allyn and Bacon. </w:t>
      </w:r>
    </w:p>
    <w:p w:rsidR="003D7050" w:rsidRPr="00106D53" w:rsidRDefault="003D7050" w:rsidP="003D7050">
      <w:pPr>
        <w:spacing w:after="0" w:line="240" w:lineRule="auto"/>
        <w:rPr>
          <w:rFonts w:ascii="Arial" w:hAnsi="Arial" w:cs="Arial"/>
          <w:sz w:val="24"/>
          <w:szCs w:val="24"/>
        </w:rPr>
      </w:pPr>
      <w:proofErr w:type="spellStart"/>
      <w:r w:rsidRPr="00106D53">
        <w:rPr>
          <w:rFonts w:ascii="Arial" w:hAnsi="Arial" w:cs="Arial"/>
          <w:sz w:val="24"/>
          <w:szCs w:val="24"/>
        </w:rPr>
        <w:t>Quadgno</w:t>
      </w:r>
      <w:proofErr w:type="spellEnd"/>
      <w:r w:rsidRPr="00106D53">
        <w:rPr>
          <w:rFonts w:ascii="Arial" w:hAnsi="Arial" w:cs="Arial"/>
          <w:sz w:val="24"/>
          <w:szCs w:val="24"/>
        </w:rPr>
        <w:t xml:space="preserve">, J. (2007). </w:t>
      </w:r>
      <w:r w:rsidRPr="00106D53">
        <w:rPr>
          <w:rFonts w:ascii="Arial" w:hAnsi="Arial" w:cs="Arial"/>
          <w:i/>
          <w:sz w:val="24"/>
          <w:szCs w:val="24"/>
        </w:rPr>
        <w:t>Aging and the Life Course: An Introduction to Social Gerontology.</w:t>
      </w:r>
      <w:r w:rsidRPr="00106D53">
        <w:rPr>
          <w:rFonts w:ascii="Arial" w:hAnsi="Arial" w:cs="Arial"/>
          <w:sz w:val="24"/>
          <w:szCs w:val="24"/>
        </w:rPr>
        <w:t xml:space="preserve"> New York: McGraw-Hill.</w:t>
      </w:r>
    </w:p>
    <w:p w:rsidR="00BD23F4" w:rsidRDefault="00BD23F4">
      <w:bookmarkStart w:id="0" w:name="_GoBack"/>
      <w:bookmarkEnd w:id="0"/>
    </w:p>
    <w:sectPr w:rsidR="00BD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85F18"/>
    <w:multiLevelType w:val="hybridMultilevel"/>
    <w:tmpl w:val="B88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0434AD"/>
    <w:multiLevelType w:val="hybridMultilevel"/>
    <w:tmpl w:val="FF808E60"/>
    <w:lvl w:ilvl="0" w:tplc="38F0C6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DB7177"/>
    <w:multiLevelType w:val="hybridMultilevel"/>
    <w:tmpl w:val="91E2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50"/>
    <w:rsid w:val="003D7050"/>
    <w:rsid w:val="00B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F3F32-FE64-4281-83D5-EBDC9194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50"/>
  </w:style>
  <w:style w:type="paragraph" w:styleId="Heading2">
    <w:name w:val="heading 2"/>
    <w:basedOn w:val="Normal"/>
    <w:next w:val="Normal"/>
    <w:link w:val="Heading2Char"/>
    <w:uiPriority w:val="9"/>
    <w:unhideWhenUsed/>
    <w:qFormat/>
    <w:rsid w:val="003D7050"/>
    <w:pPr>
      <w:keepNext/>
      <w:keepLines/>
      <w:spacing w:before="240" w:after="120" w:line="360" w:lineRule="auto"/>
      <w:outlineLvl w:val="1"/>
    </w:pPr>
    <w:rPr>
      <w:rFonts w:asciiTheme="majorBidi" w:eastAsiaTheme="majorEastAsia" w:hAnsiTheme="majorBid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050"/>
    <w:rPr>
      <w:rFonts w:asciiTheme="majorBidi" w:eastAsiaTheme="majorEastAsia" w:hAnsiTheme="majorBidi"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2022-03-31T07:55:00Z</dcterms:created>
  <dcterms:modified xsi:type="dcterms:W3CDTF">2022-03-31T07:56:00Z</dcterms:modified>
</cp:coreProperties>
</file>