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81" w:rsidRPr="00D464F4" w:rsidRDefault="00BF3781" w:rsidP="00BF3781">
      <w:pPr>
        <w:pStyle w:val="Heading1"/>
        <w:jc w:val="center"/>
        <w:rPr>
          <w:rFonts w:asciiTheme="minorHAnsi" w:hAnsiTheme="minorHAnsi"/>
          <w:sz w:val="24"/>
          <w:szCs w:val="24"/>
        </w:rPr>
      </w:pPr>
      <w:bookmarkStart w:id="0" w:name="_Toc407799275"/>
      <w:bookmarkStart w:id="1" w:name="_Toc407799374"/>
      <w:bookmarkStart w:id="2" w:name="_Toc410709760"/>
      <w:r>
        <w:t xml:space="preserve">Advanced </w:t>
      </w:r>
      <w:r w:rsidRPr="002572AD">
        <w:t>Qualitative Research Methods</w:t>
      </w:r>
      <w:bookmarkEnd w:id="0"/>
      <w:bookmarkEnd w:id="1"/>
      <w:bookmarkEnd w:id="2"/>
    </w:p>
    <w:p w:rsidR="00BF3781" w:rsidRPr="00D464F4" w:rsidRDefault="00BF3781" w:rsidP="00BF3781">
      <w:pPr>
        <w:rPr>
          <w:sz w:val="24"/>
          <w:szCs w:val="24"/>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Core Texts </w:t>
      </w:r>
    </w:p>
    <w:p w:rsidR="00BF3781" w:rsidRPr="00D464F4" w:rsidRDefault="00BF3781" w:rsidP="00BF3781">
      <w:pPr>
        <w:pStyle w:val="Default"/>
        <w:rPr>
          <w:rFonts w:asciiTheme="minorHAnsi" w:hAnsiTheme="minorHAnsi"/>
        </w:rPr>
      </w:pPr>
      <w:r w:rsidRPr="00D464F4">
        <w:rPr>
          <w:rFonts w:asciiTheme="minorHAnsi" w:hAnsiTheme="minorHAnsi"/>
        </w:rPr>
        <w:t xml:space="preserve">A.B. </w:t>
      </w:r>
      <w:proofErr w:type="spellStart"/>
      <w:r w:rsidRPr="00D464F4">
        <w:rPr>
          <w:rFonts w:asciiTheme="minorHAnsi" w:hAnsiTheme="minorHAnsi"/>
        </w:rPr>
        <w:t>Marvasti</w:t>
      </w:r>
      <w:proofErr w:type="spellEnd"/>
      <w:r w:rsidRPr="00D464F4">
        <w:rPr>
          <w:rFonts w:asciiTheme="minorHAnsi" w:hAnsiTheme="minorHAnsi"/>
        </w:rPr>
        <w:t xml:space="preserve">, Qualitative Research in Sociology: An Introduction (London: Sage, 2004) </w:t>
      </w:r>
    </w:p>
    <w:p w:rsidR="00BF3781" w:rsidRPr="00D464F4" w:rsidRDefault="00BF3781" w:rsidP="00BF3781">
      <w:pPr>
        <w:pStyle w:val="Default"/>
        <w:rPr>
          <w:rFonts w:asciiTheme="minorHAnsi" w:hAnsiTheme="minorHAnsi"/>
        </w:rPr>
      </w:pPr>
      <w:r w:rsidRPr="00D464F4">
        <w:rPr>
          <w:rFonts w:asciiTheme="minorHAnsi" w:hAnsiTheme="minorHAnsi"/>
        </w:rPr>
        <w:t xml:space="preserve">D.D. </w:t>
      </w:r>
      <w:proofErr w:type="spellStart"/>
      <w:r w:rsidRPr="00D464F4">
        <w:rPr>
          <w:rFonts w:asciiTheme="minorHAnsi" w:hAnsiTheme="minorHAnsi"/>
        </w:rPr>
        <w:t>Porta</w:t>
      </w:r>
      <w:proofErr w:type="spellEnd"/>
      <w:r w:rsidRPr="00D464F4">
        <w:rPr>
          <w:rFonts w:asciiTheme="minorHAnsi" w:hAnsiTheme="minorHAnsi"/>
        </w:rPr>
        <w:t xml:space="preserve"> and M. Keating, Approaches and Methodologies in the Social Sciences (New York: Cambridge University Press, 2008) </w:t>
      </w:r>
    </w:p>
    <w:p w:rsidR="00BF3781" w:rsidRPr="00D464F4" w:rsidRDefault="00BF3781" w:rsidP="00BF3781">
      <w:pPr>
        <w:pStyle w:val="Default"/>
        <w:rPr>
          <w:rFonts w:asciiTheme="minorHAnsi" w:hAnsiTheme="minorHAnsi"/>
        </w:rPr>
      </w:pPr>
      <w:r w:rsidRPr="00D464F4">
        <w:rPr>
          <w:rFonts w:asciiTheme="minorHAnsi" w:hAnsiTheme="minorHAnsi"/>
        </w:rPr>
        <w:t xml:space="preserve">G. </w:t>
      </w:r>
      <w:proofErr w:type="spellStart"/>
      <w:r w:rsidRPr="00D464F4">
        <w:rPr>
          <w:rFonts w:asciiTheme="minorHAnsi" w:hAnsiTheme="minorHAnsi"/>
        </w:rPr>
        <w:t>Ritzer</w:t>
      </w:r>
      <w:proofErr w:type="spellEnd"/>
      <w:r w:rsidRPr="00D464F4">
        <w:rPr>
          <w:rFonts w:asciiTheme="minorHAnsi" w:hAnsiTheme="minorHAnsi"/>
        </w:rPr>
        <w:t xml:space="preserve">, </w:t>
      </w:r>
      <w:proofErr w:type="gramStart"/>
      <w:r w:rsidRPr="00D464F4">
        <w:rPr>
          <w:rFonts w:asciiTheme="minorHAnsi" w:hAnsiTheme="minorHAnsi"/>
        </w:rPr>
        <w:t>The</w:t>
      </w:r>
      <w:proofErr w:type="gramEnd"/>
      <w:r w:rsidRPr="00D464F4">
        <w:rPr>
          <w:rFonts w:asciiTheme="minorHAnsi" w:hAnsiTheme="minorHAnsi"/>
        </w:rPr>
        <w:t xml:space="preserve"> Blackwell </w:t>
      </w:r>
      <w:proofErr w:type="spellStart"/>
      <w:r w:rsidRPr="00D464F4">
        <w:rPr>
          <w:rFonts w:asciiTheme="minorHAnsi" w:hAnsiTheme="minorHAnsi"/>
        </w:rPr>
        <w:t>Encyclopaedia</w:t>
      </w:r>
      <w:proofErr w:type="spellEnd"/>
      <w:r w:rsidRPr="00D464F4">
        <w:rPr>
          <w:rFonts w:asciiTheme="minorHAnsi" w:hAnsiTheme="minorHAnsi"/>
        </w:rPr>
        <w:t xml:space="preserve"> of Sociology (Oxford: Blackwell Publishing, 2007) </w:t>
      </w:r>
    </w:p>
    <w:p w:rsidR="00BF3781" w:rsidRPr="00D464F4" w:rsidRDefault="00BF3781" w:rsidP="00BF3781">
      <w:pPr>
        <w:pStyle w:val="Default"/>
        <w:rPr>
          <w:rFonts w:asciiTheme="minorHAnsi" w:hAnsiTheme="minorHAnsi"/>
        </w:rPr>
      </w:pPr>
      <w:r w:rsidRPr="00D464F4">
        <w:rPr>
          <w:rFonts w:asciiTheme="minorHAnsi" w:hAnsiTheme="minorHAnsi"/>
        </w:rPr>
        <w:t xml:space="preserve">J. </w:t>
      </w:r>
      <w:proofErr w:type="spellStart"/>
      <w:r w:rsidRPr="00D464F4">
        <w:rPr>
          <w:rFonts w:asciiTheme="minorHAnsi" w:hAnsiTheme="minorHAnsi"/>
        </w:rPr>
        <w:t>Ritchi</w:t>
      </w:r>
      <w:proofErr w:type="spellEnd"/>
      <w:r w:rsidRPr="00D464F4">
        <w:rPr>
          <w:rFonts w:asciiTheme="minorHAnsi" w:hAnsiTheme="minorHAnsi"/>
        </w:rPr>
        <w:t xml:space="preserve"> and J. Lewis, Qualitative Research Practice: A Guide for Social Science Students and Researchers (London: Sage, 2003) </w:t>
      </w:r>
    </w:p>
    <w:p w:rsidR="00BF3781" w:rsidRPr="00D464F4" w:rsidRDefault="00BF3781" w:rsidP="00BF3781">
      <w:pPr>
        <w:pStyle w:val="Default"/>
        <w:rPr>
          <w:rFonts w:asciiTheme="minorHAnsi" w:hAnsiTheme="minorHAnsi"/>
        </w:rPr>
      </w:pPr>
      <w:r w:rsidRPr="00D464F4">
        <w:rPr>
          <w:rFonts w:asciiTheme="minorHAnsi" w:hAnsiTheme="minorHAnsi"/>
        </w:rPr>
        <w:t xml:space="preserve">L.M. Given, </w:t>
      </w:r>
      <w:proofErr w:type="gramStart"/>
      <w:r w:rsidRPr="00D464F4">
        <w:rPr>
          <w:rFonts w:asciiTheme="minorHAnsi" w:hAnsiTheme="minorHAnsi"/>
        </w:rPr>
        <w:t>The</w:t>
      </w:r>
      <w:proofErr w:type="gramEnd"/>
      <w:r w:rsidRPr="00D464F4">
        <w:rPr>
          <w:rFonts w:asciiTheme="minorHAnsi" w:hAnsiTheme="minorHAnsi"/>
        </w:rPr>
        <w:t xml:space="preserve"> Sage </w:t>
      </w:r>
      <w:proofErr w:type="spellStart"/>
      <w:r w:rsidRPr="00D464F4">
        <w:rPr>
          <w:rFonts w:asciiTheme="minorHAnsi" w:hAnsiTheme="minorHAnsi"/>
        </w:rPr>
        <w:t>Encyclopaedia</w:t>
      </w:r>
      <w:proofErr w:type="spellEnd"/>
      <w:r w:rsidRPr="00D464F4">
        <w:rPr>
          <w:rFonts w:asciiTheme="minorHAnsi" w:hAnsiTheme="minorHAnsi"/>
        </w:rPr>
        <w:t xml:space="preserve"> of Qualitative Research Methods (London: Sage, 2008) </w:t>
      </w:r>
    </w:p>
    <w:p w:rsidR="00BF3781" w:rsidRDefault="00BF3781" w:rsidP="00BF3781">
      <w:pPr>
        <w:rPr>
          <w:sz w:val="24"/>
          <w:szCs w:val="24"/>
        </w:rPr>
      </w:pPr>
    </w:p>
    <w:p w:rsidR="00BF3781" w:rsidRPr="00C82722" w:rsidRDefault="00BF3781" w:rsidP="00BF3781">
      <w:pPr>
        <w:spacing w:after="120" w:line="240" w:lineRule="auto"/>
        <w:jc w:val="both"/>
        <w:rPr>
          <w:b/>
          <w:sz w:val="24"/>
          <w:szCs w:val="24"/>
        </w:rPr>
      </w:pPr>
      <w:r w:rsidRPr="00C82722">
        <w:rPr>
          <w:b/>
          <w:sz w:val="24"/>
          <w:szCs w:val="24"/>
        </w:rPr>
        <w:t>Course Requirements and Grading</w:t>
      </w:r>
    </w:p>
    <w:p w:rsidR="00BF3781" w:rsidRPr="00C82722" w:rsidRDefault="00BF3781" w:rsidP="00BF3781">
      <w:pPr>
        <w:spacing w:after="120" w:line="240" w:lineRule="auto"/>
        <w:jc w:val="both"/>
        <w:rPr>
          <w:sz w:val="24"/>
          <w:szCs w:val="24"/>
        </w:rPr>
      </w:pPr>
      <w:r w:rsidRPr="00C82722">
        <w:rPr>
          <w:b/>
          <w:sz w:val="24"/>
          <w:szCs w:val="24"/>
        </w:rPr>
        <w:t>Reflection Papers:</w:t>
      </w:r>
      <w:r w:rsidRPr="00C82722">
        <w:rPr>
          <w:sz w:val="24"/>
          <w:szCs w:val="24"/>
        </w:rPr>
        <w:t xml:space="preserve"> Students are required to write a reflection paper of no more than 500 words on each of the assigned readings. In this paper, students will critically reflect on the day’s readings. Reflection papers must be </w:t>
      </w:r>
      <w:r w:rsidRPr="00C82722">
        <w:rPr>
          <w:b/>
          <w:sz w:val="24"/>
          <w:szCs w:val="24"/>
          <w:u w:val="single"/>
        </w:rPr>
        <w:t>submitted during the class time</w:t>
      </w:r>
      <w:r w:rsidRPr="00C82722">
        <w:rPr>
          <w:sz w:val="24"/>
          <w:szCs w:val="24"/>
        </w:rPr>
        <w:t>. Cumulative percentage of all reflection papers will be 20% of the final grade.</w:t>
      </w:r>
    </w:p>
    <w:p w:rsidR="00BF3781" w:rsidRPr="00C82722" w:rsidRDefault="00BF3781" w:rsidP="00BF3781">
      <w:pPr>
        <w:spacing w:after="120" w:line="240" w:lineRule="auto"/>
        <w:jc w:val="both"/>
        <w:rPr>
          <w:sz w:val="24"/>
          <w:szCs w:val="24"/>
        </w:rPr>
      </w:pPr>
      <w:r w:rsidRPr="00C82722">
        <w:rPr>
          <w:b/>
          <w:sz w:val="24"/>
          <w:szCs w:val="24"/>
        </w:rPr>
        <w:t xml:space="preserve">Research </w:t>
      </w:r>
      <w:proofErr w:type="spellStart"/>
      <w:r w:rsidRPr="00C82722">
        <w:rPr>
          <w:b/>
          <w:sz w:val="24"/>
          <w:szCs w:val="24"/>
        </w:rPr>
        <w:t>Paper</w:t>
      </w:r>
      <w:proofErr w:type="gramStart"/>
      <w:r w:rsidRPr="00C82722">
        <w:rPr>
          <w:b/>
          <w:sz w:val="24"/>
          <w:szCs w:val="24"/>
        </w:rPr>
        <w:t>:</w:t>
      </w:r>
      <w:r w:rsidRPr="00C82722">
        <w:rPr>
          <w:b/>
          <w:sz w:val="24"/>
          <w:szCs w:val="24"/>
          <w:u w:val="single"/>
        </w:rPr>
        <w:t>Students</w:t>
      </w:r>
      <w:proofErr w:type="spellEnd"/>
      <w:proofErr w:type="gramEnd"/>
      <w:r w:rsidRPr="00C82722">
        <w:rPr>
          <w:b/>
          <w:sz w:val="24"/>
          <w:szCs w:val="24"/>
          <w:u w:val="single"/>
        </w:rPr>
        <w:t xml:space="preserve"> are required to write a 15-20 page research paper.</w:t>
      </w:r>
      <w:r w:rsidRPr="00C82722">
        <w:rPr>
          <w:sz w:val="24"/>
          <w:szCs w:val="24"/>
        </w:rPr>
        <w:t xml:space="preserve"> Topic of the paper should fall within the framework of the concepts covered in the class. At the minimum, </w:t>
      </w:r>
      <w:r w:rsidRPr="00C82722">
        <w:rPr>
          <w:b/>
          <w:sz w:val="24"/>
          <w:szCs w:val="24"/>
          <w:u w:val="single"/>
        </w:rPr>
        <w:t>paper should include at least six articles from academic journals (or two books and two academic articles).</w:t>
      </w:r>
      <w:r w:rsidRPr="00C82722">
        <w:rPr>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C82722">
        <w:rPr>
          <w:b/>
          <w:sz w:val="24"/>
          <w:szCs w:val="24"/>
          <w:u w:val="single"/>
        </w:rPr>
        <w:t>Research papers should be submitted three weeks before the final term exams</w:t>
      </w:r>
      <w:r w:rsidRPr="00C82722">
        <w:rPr>
          <w:sz w:val="24"/>
          <w:szCs w:val="24"/>
        </w:rPr>
        <w:t>.</w:t>
      </w:r>
    </w:p>
    <w:p w:rsidR="00BF3781" w:rsidRPr="00C82722" w:rsidRDefault="00BF3781" w:rsidP="00BF3781">
      <w:pPr>
        <w:spacing w:after="120" w:line="240" w:lineRule="auto"/>
        <w:jc w:val="both"/>
        <w:rPr>
          <w:sz w:val="24"/>
          <w:szCs w:val="24"/>
        </w:rPr>
      </w:pPr>
      <w:r w:rsidRPr="00C82722">
        <w:rPr>
          <w:b/>
          <w:sz w:val="24"/>
          <w:szCs w:val="24"/>
        </w:rPr>
        <w:t>Presentation (Research Paper):</w:t>
      </w:r>
      <w:r w:rsidRPr="00C82722">
        <w:rPr>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BF3781" w:rsidRPr="00C82722" w:rsidRDefault="00BF3781" w:rsidP="00BF3781">
      <w:pPr>
        <w:spacing w:after="120" w:line="240" w:lineRule="auto"/>
        <w:jc w:val="both"/>
        <w:rPr>
          <w:sz w:val="24"/>
          <w:szCs w:val="24"/>
        </w:rPr>
      </w:pPr>
      <w:r w:rsidRPr="00C82722">
        <w:rPr>
          <w:b/>
          <w:sz w:val="24"/>
          <w:szCs w:val="24"/>
        </w:rPr>
        <w:t>Book Report:</w:t>
      </w:r>
      <w:r w:rsidRPr="00C82722">
        <w:rPr>
          <w:sz w:val="24"/>
          <w:szCs w:val="24"/>
        </w:rPr>
        <w:t xml:space="preserve"> Students are required to write a critical book report on a classical text and discuss it in the classroom </w:t>
      </w:r>
      <w:r w:rsidRPr="00C82722">
        <w:rPr>
          <w:b/>
          <w:sz w:val="24"/>
          <w:szCs w:val="24"/>
          <w:u w:val="single"/>
        </w:rPr>
        <w:t>(Books for report must be approved by the instructor).</w:t>
      </w:r>
      <w:r w:rsidRPr="00C82722">
        <w:rPr>
          <w:sz w:val="24"/>
          <w:szCs w:val="24"/>
        </w:rPr>
        <w:t xml:space="preserve"> Specific instructions for this assignment will be distributed during the fifth week of the classes. On average, length of this report should be anywhere between 9-12 pages. Total worth of this book report is 10 %. </w:t>
      </w:r>
      <w:r w:rsidRPr="00C82722">
        <w:rPr>
          <w:b/>
          <w:sz w:val="24"/>
          <w:szCs w:val="24"/>
          <w:u w:val="single"/>
        </w:rPr>
        <w:t>Book report should be submitted one week before the midterm exams</w:t>
      </w:r>
    </w:p>
    <w:p w:rsidR="00BF3781" w:rsidRPr="00C82722" w:rsidRDefault="00BF3781" w:rsidP="00BF3781">
      <w:pPr>
        <w:spacing w:after="120" w:line="240" w:lineRule="auto"/>
        <w:jc w:val="both"/>
        <w:rPr>
          <w:sz w:val="24"/>
          <w:szCs w:val="24"/>
        </w:rPr>
      </w:pPr>
      <w:r w:rsidRPr="00C82722">
        <w:rPr>
          <w:b/>
          <w:sz w:val="24"/>
          <w:szCs w:val="24"/>
        </w:rPr>
        <w:t>Exams:</w:t>
      </w:r>
      <w:r w:rsidRPr="00C82722">
        <w:rPr>
          <w:sz w:val="24"/>
          <w:szCs w:val="24"/>
        </w:rPr>
        <w:t xml:space="preserve"> There will be two exams in this class, a midterm and a final. These exams will be closed book and conducted in the class room. Exams will be based on assigned readings, class </w:t>
      </w:r>
      <w:r w:rsidRPr="00C82722">
        <w:rPr>
          <w:sz w:val="24"/>
          <w:szCs w:val="24"/>
        </w:rPr>
        <w:lastRenderedPageBreak/>
        <w:t>discussions, lectures and any other learning activities done in the class room by the exam date. Midterm exam will be worth 20% and final exam will be worth 25% of the final grade.</w:t>
      </w:r>
    </w:p>
    <w:p w:rsidR="00BF3781" w:rsidRPr="00C82722" w:rsidRDefault="00BF3781" w:rsidP="00BF3781">
      <w:pPr>
        <w:spacing w:after="120" w:line="240" w:lineRule="auto"/>
        <w:jc w:val="both"/>
        <w:rPr>
          <w:sz w:val="24"/>
          <w:szCs w:val="24"/>
        </w:rPr>
      </w:pPr>
      <w:r w:rsidRPr="00C82722">
        <w:rPr>
          <w:b/>
          <w:sz w:val="24"/>
          <w:szCs w:val="24"/>
        </w:rPr>
        <w:t>Attendance &amp; Class Participation:</w:t>
      </w:r>
      <w:r w:rsidRPr="00C82722">
        <w:rPr>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rsidR="00BF3781" w:rsidRPr="00C82722" w:rsidRDefault="00BF3781" w:rsidP="00BF3781">
      <w:pPr>
        <w:tabs>
          <w:tab w:val="left" w:pos="1320"/>
        </w:tabs>
        <w:spacing w:after="120" w:line="240" w:lineRule="auto"/>
        <w:rPr>
          <w:sz w:val="24"/>
          <w:szCs w:val="24"/>
        </w:rPr>
      </w:pPr>
      <w:r w:rsidRPr="00C82722">
        <w:rPr>
          <w:b/>
          <w:sz w:val="24"/>
          <w:szCs w:val="24"/>
          <w:u w:val="single"/>
        </w:rPr>
        <w:t>Grade Evaluation Criteria</w:t>
      </w:r>
    </w:p>
    <w:p w:rsidR="00BF3781" w:rsidRPr="00C82722" w:rsidRDefault="00BF3781" w:rsidP="00BF3781">
      <w:pPr>
        <w:tabs>
          <w:tab w:val="left" w:pos="930"/>
        </w:tabs>
        <w:spacing w:after="120" w:line="240" w:lineRule="auto"/>
        <w:rPr>
          <w:sz w:val="24"/>
          <w:szCs w:val="24"/>
        </w:rPr>
      </w:pPr>
      <w:r w:rsidRPr="00C82722">
        <w:rPr>
          <w:sz w:val="24"/>
          <w:szCs w:val="24"/>
        </w:rPr>
        <w:t>Following is the criteria for the distribution of marks to evaluate final grade in a semester.</w:t>
      </w:r>
    </w:p>
    <w:p w:rsidR="00BF3781" w:rsidRPr="00C82722" w:rsidRDefault="00BF3781" w:rsidP="00BF3781">
      <w:pPr>
        <w:tabs>
          <w:tab w:val="left" w:pos="930"/>
        </w:tabs>
        <w:spacing w:after="120" w:line="240" w:lineRule="auto"/>
        <w:rPr>
          <w:sz w:val="24"/>
          <w:szCs w:val="24"/>
        </w:rPr>
      </w:pPr>
    </w:p>
    <w:p w:rsidR="00BF3781" w:rsidRPr="00C82722" w:rsidRDefault="00BF3781" w:rsidP="00BF3781">
      <w:pPr>
        <w:tabs>
          <w:tab w:val="left" w:pos="930"/>
        </w:tabs>
        <w:spacing w:after="120" w:line="240" w:lineRule="auto"/>
        <w:rPr>
          <w:b/>
          <w:sz w:val="24"/>
          <w:szCs w:val="24"/>
        </w:rPr>
      </w:pPr>
      <w:r w:rsidRPr="00C82722">
        <w:rPr>
          <w:b/>
          <w:sz w:val="24"/>
          <w:szCs w:val="24"/>
        </w:rPr>
        <w:t>Marks Evaluation</w:t>
      </w:r>
      <w:r w:rsidRPr="00C82722">
        <w:rPr>
          <w:b/>
          <w:sz w:val="24"/>
          <w:szCs w:val="24"/>
        </w:rPr>
        <w:tab/>
      </w:r>
      <w:r w:rsidRPr="00C82722">
        <w:rPr>
          <w:b/>
          <w:sz w:val="24"/>
          <w:szCs w:val="24"/>
        </w:rPr>
        <w:tab/>
        <w:t xml:space="preserve">Marks in percentage </w:t>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p>
    <w:p w:rsidR="00BF3781" w:rsidRPr="00C82722" w:rsidRDefault="00BF3781" w:rsidP="00BF3781">
      <w:pPr>
        <w:spacing w:after="120" w:line="240" w:lineRule="auto"/>
        <w:jc w:val="both"/>
        <w:rPr>
          <w:sz w:val="24"/>
          <w:szCs w:val="24"/>
        </w:rPr>
      </w:pPr>
      <w:r w:rsidRPr="00C82722">
        <w:rPr>
          <w:sz w:val="24"/>
          <w:szCs w:val="24"/>
        </w:rPr>
        <w:t>Reflection Papers</w:t>
      </w:r>
      <w:r w:rsidRPr="00C82722">
        <w:rPr>
          <w:sz w:val="24"/>
          <w:szCs w:val="24"/>
        </w:rPr>
        <w:tab/>
      </w:r>
      <w:r w:rsidRPr="00C82722">
        <w:rPr>
          <w:sz w:val="24"/>
          <w:szCs w:val="24"/>
        </w:rPr>
        <w:tab/>
      </w:r>
      <w:r w:rsidRPr="00C82722">
        <w:rPr>
          <w:sz w:val="24"/>
          <w:szCs w:val="24"/>
        </w:rPr>
        <w:tab/>
        <w:t>20%</w:t>
      </w:r>
    </w:p>
    <w:p w:rsidR="00BF3781" w:rsidRPr="00C82722" w:rsidRDefault="00BF3781" w:rsidP="00BF3781">
      <w:pPr>
        <w:spacing w:after="120" w:line="240" w:lineRule="auto"/>
        <w:jc w:val="both"/>
        <w:rPr>
          <w:sz w:val="24"/>
          <w:szCs w:val="24"/>
        </w:rPr>
      </w:pPr>
      <w:r w:rsidRPr="00C82722">
        <w:rPr>
          <w:sz w:val="24"/>
          <w:szCs w:val="24"/>
        </w:rPr>
        <w:t>Research Paper</w:t>
      </w:r>
      <w:r w:rsidRPr="00C82722">
        <w:rPr>
          <w:sz w:val="24"/>
          <w:szCs w:val="24"/>
        </w:rPr>
        <w:tab/>
      </w:r>
      <w:r w:rsidRPr="00C82722">
        <w:rPr>
          <w:sz w:val="24"/>
          <w:szCs w:val="24"/>
        </w:rPr>
        <w:tab/>
      </w:r>
      <w:r w:rsidRPr="00C82722">
        <w:rPr>
          <w:sz w:val="24"/>
          <w:szCs w:val="24"/>
        </w:rPr>
        <w:tab/>
        <w:t>15%</w:t>
      </w:r>
    </w:p>
    <w:p w:rsidR="00BF3781" w:rsidRPr="00C82722" w:rsidRDefault="00BF3781" w:rsidP="00BF3781">
      <w:pPr>
        <w:spacing w:after="120" w:line="240" w:lineRule="auto"/>
        <w:jc w:val="both"/>
        <w:rPr>
          <w:sz w:val="24"/>
          <w:szCs w:val="24"/>
        </w:rPr>
      </w:pPr>
      <w:r w:rsidRPr="00C82722">
        <w:rPr>
          <w:sz w:val="24"/>
          <w:szCs w:val="24"/>
        </w:rPr>
        <w:t>Presentation (Research Paper)</w:t>
      </w:r>
      <w:r w:rsidRPr="00C82722">
        <w:rPr>
          <w:sz w:val="24"/>
          <w:szCs w:val="24"/>
        </w:rPr>
        <w:tab/>
        <w:t xml:space="preserve">  5%</w:t>
      </w:r>
    </w:p>
    <w:p w:rsidR="00BF3781" w:rsidRPr="00C82722" w:rsidRDefault="00BF3781" w:rsidP="00BF3781">
      <w:pPr>
        <w:spacing w:after="120" w:line="240" w:lineRule="auto"/>
        <w:jc w:val="both"/>
        <w:rPr>
          <w:sz w:val="24"/>
          <w:szCs w:val="24"/>
        </w:rPr>
      </w:pPr>
      <w:r w:rsidRPr="00C82722">
        <w:rPr>
          <w:sz w:val="24"/>
          <w:szCs w:val="24"/>
        </w:rPr>
        <w:t>Book Report</w:t>
      </w:r>
      <w:r w:rsidRPr="00C82722">
        <w:rPr>
          <w:sz w:val="24"/>
          <w:szCs w:val="24"/>
        </w:rPr>
        <w:tab/>
      </w:r>
      <w:r w:rsidRPr="00C82722">
        <w:rPr>
          <w:sz w:val="24"/>
          <w:szCs w:val="24"/>
        </w:rPr>
        <w:tab/>
      </w:r>
      <w:r w:rsidRPr="00C82722">
        <w:rPr>
          <w:sz w:val="24"/>
          <w:szCs w:val="24"/>
        </w:rPr>
        <w:tab/>
      </w:r>
      <w:r w:rsidRPr="00C82722">
        <w:rPr>
          <w:sz w:val="24"/>
          <w:szCs w:val="24"/>
        </w:rPr>
        <w:tab/>
        <w:t>10%</w:t>
      </w:r>
    </w:p>
    <w:p w:rsidR="00BF3781" w:rsidRPr="00C82722" w:rsidRDefault="00BF3781" w:rsidP="00BF3781">
      <w:pPr>
        <w:spacing w:after="120" w:line="240" w:lineRule="auto"/>
        <w:jc w:val="both"/>
        <w:rPr>
          <w:sz w:val="24"/>
          <w:szCs w:val="24"/>
        </w:rPr>
      </w:pPr>
      <w:r w:rsidRPr="00C82722">
        <w:rPr>
          <w:sz w:val="24"/>
          <w:szCs w:val="24"/>
        </w:rPr>
        <w:t>Midterm Exam</w:t>
      </w:r>
      <w:r w:rsidRPr="00C82722">
        <w:rPr>
          <w:sz w:val="24"/>
          <w:szCs w:val="24"/>
        </w:rPr>
        <w:tab/>
      </w:r>
      <w:r w:rsidRPr="00C82722">
        <w:rPr>
          <w:sz w:val="24"/>
          <w:szCs w:val="24"/>
        </w:rPr>
        <w:tab/>
      </w:r>
      <w:r w:rsidRPr="00C82722">
        <w:rPr>
          <w:sz w:val="24"/>
          <w:szCs w:val="24"/>
        </w:rPr>
        <w:tab/>
        <w:t>20%</w:t>
      </w:r>
    </w:p>
    <w:p w:rsidR="00BF3781" w:rsidRPr="00C82722" w:rsidRDefault="00BF3781" w:rsidP="00BF3781">
      <w:pPr>
        <w:spacing w:after="120" w:line="240" w:lineRule="auto"/>
        <w:jc w:val="both"/>
        <w:rPr>
          <w:sz w:val="24"/>
          <w:szCs w:val="24"/>
        </w:rPr>
      </w:pPr>
      <w:r w:rsidRPr="00C82722">
        <w:rPr>
          <w:sz w:val="24"/>
          <w:szCs w:val="24"/>
        </w:rPr>
        <w:t xml:space="preserve">Final Term </w:t>
      </w:r>
      <w:r w:rsidRPr="00C82722">
        <w:rPr>
          <w:sz w:val="24"/>
          <w:szCs w:val="24"/>
        </w:rPr>
        <w:tab/>
      </w:r>
      <w:r w:rsidRPr="00C82722">
        <w:rPr>
          <w:sz w:val="24"/>
          <w:szCs w:val="24"/>
        </w:rPr>
        <w:tab/>
      </w:r>
      <w:r w:rsidRPr="00C82722">
        <w:rPr>
          <w:sz w:val="24"/>
          <w:szCs w:val="24"/>
        </w:rPr>
        <w:tab/>
      </w:r>
      <w:r w:rsidRPr="00C82722">
        <w:rPr>
          <w:sz w:val="24"/>
          <w:szCs w:val="24"/>
        </w:rPr>
        <w:tab/>
        <w:t>25%</w:t>
      </w:r>
    </w:p>
    <w:p w:rsidR="00BF3781" w:rsidRPr="00C82722" w:rsidRDefault="00BF3781" w:rsidP="00BF3781">
      <w:pPr>
        <w:spacing w:after="120" w:line="240" w:lineRule="auto"/>
        <w:jc w:val="both"/>
        <w:rPr>
          <w:sz w:val="24"/>
          <w:szCs w:val="24"/>
        </w:rPr>
      </w:pPr>
      <w:r w:rsidRPr="00C82722">
        <w:rPr>
          <w:sz w:val="24"/>
          <w:szCs w:val="24"/>
        </w:rPr>
        <w:t>Attendance &amp; Class Participation</w:t>
      </w:r>
      <w:r w:rsidRPr="00C82722">
        <w:rPr>
          <w:sz w:val="24"/>
          <w:szCs w:val="24"/>
        </w:rPr>
        <w:tab/>
        <w:t xml:space="preserve">  5%</w:t>
      </w:r>
    </w:p>
    <w:p w:rsidR="00BF3781" w:rsidRPr="00C82722" w:rsidRDefault="00BF3781" w:rsidP="00BF3781">
      <w:pPr>
        <w:spacing w:after="120" w:line="240" w:lineRule="auto"/>
        <w:jc w:val="both"/>
        <w:rPr>
          <w:sz w:val="24"/>
          <w:szCs w:val="24"/>
        </w:rPr>
      </w:pPr>
      <w:r w:rsidRPr="00C82722">
        <w:rPr>
          <w:sz w:val="24"/>
          <w:szCs w:val="24"/>
        </w:rPr>
        <w:t>__________________________________</w:t>
      </w:r>
    </w:p>
    <w:p w:rsidR="00BF3781" w:rsidRPr="00C82722" w:rsidRDefault="00BF3781" w:rsidP="00BF3781">
      <w:pPr>
        <w:spacing w:after="120" w:line="240" w:lineRule="auto"/>
        <w:jc w:val="both"/>
        <w:rPr>
          <w:sz w:val="24"/>
          <w:szCs w:val="24"/>
        </w:rPr>
      </w:pPr>
      <w:r w:rsidRPr="00C82722">
        <w:rPr>
          <w:sz w:val="24"/>
          <w:szCs w:val="24"/>
        </w:rPr>
        <w:t xml:space="preserve">Total </w:t>
      </w:r>
      <w:r w:rsidRPr="00C82722">
        <w:rPr>
          <w:sz w:val="24"/>
          <w:szCs w:val="24"/>
        </w:rPr>
        <w:tab/>
      </w:r>
      <w:r w:rsidRPr="00C82722">
        <w:rPr>
          <w:sz w:val="24"/>
          <w:szCs w:val="24"/>
        </w:rPr>
        <w:tab/>
      </w:r>
      <w:r w:rsidRPr="00C82722">
        <w:rPr>
          <w:sz w:val="24"/>
          <w:szCs w:val="24"/>
        </w:rPr>
        <w:tab/>
      </w:r>
      <w:r w:rsidRPr="00C82722">
        <w:rPr>
          <w:sz w:val="24"/>
          <w:szCs w:val="24"/>
        </w:rPr>
        <w:tab/>
      </w:r>
      <w:r w:rsidRPr="00C82722">
        <w:rPr>
          <w:sz w:val="24"/>
          <w:szCs w:val="24"/>
        </w:rPr>
        <w:tab/>
        <w:t>100%</w:t>
      </w:r>
    </w:p>
    <w:p w:rsidR="00BF3781" w:rsidRPr="00C82722" w:rsidRDefault="00BF3781" w:rsidP="00BF3781">
      <w:pPr>
        <w:spacing w:before="240" w:after="120" w:line="240" w:lineRule="auto"/>
        <w:jc w:val="both"/>
        <w:rPr>
          <w:b/>
          <w:sz w:val="24"/>
          <w:szCs w:val="24"/>
        </w:rPr>
      </w:pPr>
      <w:r w:rsidRPr="00C82722">
        <w:rPr>
          <w:b/>
          <w:sz w:val="24"/>
          <w:szCs w:val="24"/>
        </w:rPr>
        <w:t>COURSE POLICIES</w:t>
      </w:r>
    </w:p>
    <w:p w:rsidR="00BF3781" w:rsidRPr="00C82722" w:rsidRDefault="00BF3781" w:rsidP="00BF3781">
      <w:pPr>
        <w:spacing w:before="240" w:after="120" w:line="240" w:lineRule="auto"/>
        <w:jc w:val="both"/>
        <w:rPr>
          <w:sz w:val="24"/>
          <w:szCs w:val="24"/>
        </w:rPr>
      </w:pPr>
      <w:r w:rsidRPr="00C82722">
        <w:rPr>
          <w:b/>
          <w:sz w:val="24"/>
          <w:szCs w:val="24"/>
        </w:rPr>
        <w:t>A Note on Academic Honesty:</w:t>
      </w:r>
      <w:r w:rsidRPr="00C82722">
        <w:rPr>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BF3781" w:rsidRPr="00C82722" w:rsidRDefault="00BF3781" w:rsidP="00BF3781">
      <w:pPr>
        <w:spacing w:before="240" w:after="120" w:line="240" w:lineRule="auto"/>
        <w:jc w:val="both"/>
        <w:rPr>
          <w:sz w:val="24"/>
          <w:szCs w:val="24"/>
        </w:rPr>
      </w:pPr>
      <w:r w:rsidRPr="00C82722">
        <w:rPr>
          <w:b/>
          <w:sz w:val="24"/>
          <w:szCs w:val="24"/>
        </w:rPr>
        <w:t>Make-up Exams and Late Assignments:</w:t>
      </w:r>
      <w:r w:rsidRPr="00C82722">
        <w:rPr>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w:t>
      </w:r>
      <w:r w:rsidRPr="00C82722">
        <w:rPr>
          <w:sz w:val="24"/>
          <w:szCs w:val="24"/>
        </w:rPr>
        <w:lastRenderedPageBreak/>
        <w:t>each day an assignment is late. Students will also lose percentage of assignment grades if incomplete assignments are turned in.</w:t>
      </w:r>
    </w:p>
    <w:p w:rsidR="00BF3781" w:rsidRPr="00D464F4" w:rsidRDefault="00BF3781" w:rsidP="00BF3781">
      <w:pPr>
        <w:rPr>
          <w:sz w:val="24"/>
          <w:szCs w:val="24"/>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Course Schedule and Assigned Readings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01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Meta-Methodology: Epistemology, Ontology, Explanation and Interpretation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Porta</w:t>
      </w:r>
      <w:proofErr w:type="spellEnd"/>
      <w:r w:rsidRPr="00D464F4">
        <w:rPr>
          <w:rFonts w:asciiTheme="minorHAnsi" w:hAnsiTheme="minorHAnsi"/>
        </w:rPr>
        <w:t xml:space="preserve"> and Keating, 19-39; related entries from </w:t>
      </w:r>
      <w:proofErr w:type="gramStart"/>
      <w:r w:rsidRPr="00D464F4">
        <w:rPr>
          <w:rFonts w:asciiTheme="minorHAnsi" w:hAnsiTheme="minorHAnsi"/>
        </w:rPr>
        <w:t>Given</w:t>
      </w:r>
      <w:proofErr w:type="gramEnd"/>
      <w:r w:rsidRPr="00D464F4">
        <w:rPr>
          <w:rFonts w:asciiTheme="minorHAnsi" w:hAnsiTheme="minorHAnsi"/>
        </w:rPr>
        <w:t xml:space="preserve"> (2008)] </w:t>
      </w:r>
    </w:p>
    <w:p w:rsidR="00BF3781" w:rsidRPr="00D464F4" w:rsidRDefault="00BF3781" w:rsidP="00BF3781">
      <w:pPr>
        <w:rPr>
          <w:sz w:val="24"/>
          <w:szCs w:val="24"/>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02-03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Issues in Qualitative Research Design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1-13; </w:t>
      </w:r>
      <w:proofErr w:type="spellStart"/>
      <w:r w:rsidRPr="00D464F4">
        <w:rPr>
          <w:rFonts w:asciiTheme="minorHAnsi" w:hAnsiTheme="minorHAnsi"/>
        </w:rPr>
        <w:t>Ritchi</w:t>
      </w:r>
      <w:proofErr w:type="spellEnd"/>
      <w:r w:rsidRPr="00D464F4">
        <w:rPr>
          <w:rFonts w:asciiTheme="minorHAnsi" w:hAnsiTheme="minorHAnsi"/>
        </w:rPr>
        <w:t xml:space="preserve"> and Lewis, 47-108]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04-05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Theoretical Frameworks: Objectivism, Constructionism and Grounded Theory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81-88; </w:t>
      </w:r>
      <w:proofErr w:type="spellStart"/>
      <w:r w:rsidRPr="00D464F4">
        <w:rPr>
          <w:rFonts w:asciiTheme="minorHAnsi" w:hAnsiTheme="minorHAnsi"/>
        </w:rPr>
        <w:t>Porta</w:t>
      </w:r>
      <w:proofErr w:type="spellEnd"/>
      <w:r w:rsidRPr="00D464F4">
        <w:rPr>
          <w:rFonts w:asciiTheme="minorHAnsi" w:hAnsiTheme="minorHAnsi"/>
        </w:rPr>
        <w:t xml:space="preserve"> and Keating, 80-98]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06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Interviews </w:t>
      </w:r>
    </w:p>
    <w:p w:rsidR="00BF3781" w:rsidRPr="00D464F4" w:rsidRDefault="00BF3781" w:rsidP="00BF3781">
      <w:pPr>
        <w:pStyle w:val="Default"/>
        <w:rPr>
          <w:rFonts w:asciiTheme="minorHAnsi" w:hAnsiTheme="minorHAnsi"/>
        </w:rPr>
      </w:pP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14-33]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07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Ethnography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34-61]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08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Participant and Non-Participant Observation </w:t>
      </w:r>
    </w:p>
    <w:p w:rsidR="00BF3781" w:rsidRPr="00D464F4" w:rsidRDefault="00BF3781" w:rsidP="00BF3781">
      <w:pPr>
        <w:pStyle w:val="Default"/>
        <w:rPr>
          <w:rFonts w:asciiTheme="minorHAnsi" w:hAnsiTheme="minorHAnsi"/>
        </w:rPr>
      </w:pPr>
      <w:r w:rsidRPr="00D464F4">
        <w:rPr>
          <w:rFonts w:asciiTheme="minorHAnsi" w:hAnsiTheme="minorHAnsi"/>
        </w:rPr>
        <w:t xml:space="preserve">[Related entries from </w:t>
      </w:r>
      <w:proofErr w:type="spellStart"/>
      <w:r w:rsidRPr="00D464F4">
        <w:rPr>
          <w:rFonts w:asciiTheme="minorHAnsi" w:hAnsiTheme="minorHAnsi"/>
        </w:rPr>
        <w:t>Ritzer</w:t>
      </w:r>
      <w:proofErr w:type="spellEnd"/>
      <w:r w:rsidRPr="00D464F4">
        <w:rPr>
          <w:rFonts w:asciiTheme="minorHAnsi" w:hAnsiTheme="minorHAnsi"/>
        </w:rPr>
        <w:t xml:space="preserve"> (2007) and </w:t>
      </w:r>
      <w:proofErr w:type="gramStart"/>
      <w:r w:rsidRPr="00D464F4">
        <w:rPr>
          <w:rFonts w:asciiTheme="minorHAnsi" w:hAnsiTheme="minorHAnsi"/>
        </w:rPr>
        <w:t>Given</w:t>
      </w:r>
      <w:proofErr w:type="gramEnd"/>
      <w:r w:rsidRPr="00D464F4">
        <w:rPr>
          <w:rFonts w:asciiTheme="minorHAnsi" w:hAnsiTheme="minorHAnsi"/>
        </w:rPr>
        <w:t xml:space="preserve"> (2008)] </w:t>
      </w:r>
    </w:p>
    <w:p w:rsidR="00BF3781" w:rsidRPr="00D464F4" w:rsidRDefault="00BF3781" w:rsidP="00BF3781">
      <w:pPr>
        <w:pStyle w:val="Default"/>
        <w:rPr>
          <w:rFonts w:asciiTheme="minorHAnsi" w:hAnsiTheme="minorHAnsi"/>
          <w:b/>
        </w:rPr>
      </w:pPr>
      <w:r w:rsidRPr="00D464F4">
        <w:rPr>
          <w:rFonts w:asciiTheme="minorHAnsi" w:hAnsiTheme="minorHAnsi"/>
          <w:b/>
        </w:rPr>
        <w:t xml:space="preserve">**MID-TERM**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09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Deciphering Data: Concepts, Categories and Codes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Porta</w:t>
      </w:r>
      <w:proofErr w:type="spellEnd"/>
      <w:r w:rsidRPr="00D464F4">
        <w:rPr>
          <w:rFonts w:asciiTheme="minorHAnsi" w:hAnsiTheme="minorHAnsi"/>
        </w:rPr>
        <w:t xml:space="preserve"> and Keating, 177-197; related entries from </w:t>
      </w:r>
      <w:proofErr w:type="gramStart"/>
      <w:r w:rsidRPr="00D464F4">
        <w:rPr>
          <w:rFonts w:asciiTheme="minorHAnsi" w:hAnsiTheme="minorHAnsi"/>
        </w:rPr>
        <w:t>Given</w:t>
      </w:r>
      <w:proofErr w:type="gramEnd"/>
      <w:r w:rsidRPr="00D464F4">
        <w:rPr>
          <w:rFonts w:asciiTheme="minorHAnsi" w:hAnsiTheme="minorHAnsi"/>
        </w:rPr>
        <w:t xml:space="preserve"> (2008)]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10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Case Study and Comparative Analysis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Porta</w:t>
      </w:r>
      <w:proofErr w:type="spellEnd"/>
      <w:r w:rsidRPr="00D464F4">
        <w:rPr>
          <w:rFonts w:asciiTheme="minorHAnsi" w:hAnsiTheme="minorHAnsi"/>
        </w:rPr>
        <w:t xml:space="preserve"> and Keating, 223-239; Given, 68-71 and 100-103]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11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Content Analysis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88-94]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12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Narrative and Conversational Analysis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94-107]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13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Discourse Analysis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107-112]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14 </w:t>
      </w:r>
    </w:p>
    <w:p w:rsidR="00BF3781" w:rsidRPr="00D464F4" w:rsidRDefault="00BF3781" w:rsidP="00BF3781">
      <w:pPr>
        <w:pStyle w:val="Default"/>
        <w:rPr>
          <w:rFonts w:asciiTheme="minorHAnsi" w:hAnsiTheme="minorHAnsi"/>
        </w:rPr>
      </w:pPr>
      <w:r w:rsidRPr="00D464F4">
        <w:rPr>
          <w:rFonts w:asciiTheme="minorHAnsi" w:hAnsiTheme="minorHAnsi"/>
          <w:b/>
          <w:bCs/>
        </w:rPr>
        <w:t xml:space="preserve">Evaluating Findings and Presentation of Research </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113-115 and 125-130] </w:t>
      </w:r>
    </w:p>
    <w:p w:rsidR="00BF3781" w:rsidRPr="00D464F4" w:rsidRDefault="00BF3781" w:rsidP="00BF3781">
      <w:pPr>
        <w:pStyle w:val="Default"/>
        <w:rPr>
          <w:rFonts w:asciiTheme="minorHAnsi" w:hAnsiTheme="minorHAnsi"/>
          <w:b/>
          <w:bCs/>
        </w:rPr>
      </w:pPr>
    </w:p>
    <w:p w:rsidR="00BF3781" w:rsidRPr="00D464F4" w:rsidRDefault="00BF3781" w:rsidP="00BF3781">
      <w:pPr>
        <w:pStyle w:val="Default"/>
        <w:rPr>
          <w:rFonts w:asciiTheme="minorHAnsi" w:hAnsiTheme="minorHAnsi"/>
        </w:rPr>
      </w:pPr>
      <w:r w:rsidRPr="00D464F4">
        <w:rPr>
          <w:rFonts w:asciiTheme="minorHAnsi" w:hAnsiTheme="minorHAnsi"/>
          <w:b/>
          <w:bCs/>
        </w:rPr>
        <w:t xml:space="preserve">Week 15 </w:t>
      </w:r>
    </w:p>
    <w:p w:rsidR="00BF3781" w:rsidRPr="00D464F4" w:rsidRDefault="00BF3781" w:rsidP="00BF3781">
      <w:pPr>
        <w:pStyle w:val="Default"/>
        <w:rPr>
          <w:rFonts w:asciiTheme="minorHAnsi" w:hAnsiTheme="minorHAnsi"/>
        </w:rPr>
      </w:pPr>
      <w:r w:rsidRPr="00D464F4">
        <w:rPr>
          <w:rFonts w:asciiTheme="minorHAnsi" w:hAnsiTheme="minorHAnsi"/>
          <w:b/>
          <w:bCs/>
        </w:rPr>
        <w:t>Ethics in Qualitative Research &amp; Final Term</w:t>
      </w:r>
    </w:p>
    <w:p w:rsidR="00BF3781" w:rsidRPr="00D464F4" w:rsidRDefault="00BF3781" w:rsidP="00BF3781">
      <w:pPr>
        <w:pStyle w:val="Default"/>
        <w:rPr>
          <w:rFonts w:asciiTheme="minorHAnsi" w:hAnsiTheme="minorHAnsi"/>
        </w:rPr>
      </w:pPr>
      <w:r w:rsidRPr="00D464F4">
        <w:rPr>
          <w:rFonts w:asciiTheme="minorHAnsi" w:hAnsiTheme="minorHAnsi"/>
        </w:rPr>
        <w:t>[</w:t>
      </w:r>
      <w:proofErr w:type="spellStart"/>
      <w:r w:rsidRPr="00D464F4">
        <w:rPr>
          <w:rFonts w:asciiTheme="minorHAnsi" w:hAnsiTheme="minorHAnsi"/>
        </w:rPr>
        <w:t>Marvasti</w:t>
      </w:r>
      <w:proofErr w:type="spellEnd"/>
      <w:r w:rsidRPr="00D464F4">
        <w:rPr>
          <w:rFonts w:asciiTheme="minorHAnsi" w:hAnsiTheme="minorHAnsi"/>
        </w:rPr>
        <w:t xml:space="preserve">, 133-144] </w:t>
      </w:r>
    </w:p>
    <w:p w:rsidR="00B77096" w:rsidRDefault="00B77096">
      <w:bookmarkStart w:id="3" w:name="_GoBack"/>
      <w:bookmarkEnd w:id="3"/>
    </w:p>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1"/>
    <w:rsid w:val="00B77096"/>
    <w:rsid w:val="00B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E357-475D-48C3-97A9-96474B25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81"/>
    <w:pPr>
      <w:spacing w:after="200" w:line="276" w:lineRule="auto"/>
    </w:pPr>
    <w:rPr>
      <w:rFonts w:eastAsiaTheme="minorEastAsia"/>
    </w:rPr>
  </w:style>
  <w:style w:type="paragraph" w:styleId="Heading1">
    <w:name w:val="heading 1"/>
    <w:basedOn w:val="Normal"/>
    <w:next w:val="Normal"/>
    <w:link w:val="Heading1Char"/>
    <w:uiPriority w:val="9"/>
    <w:qFormat/>
    <w:rsid w:val="00BF37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781"/>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BF378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2022-03-31T10:52:00Z</dcterms:created>
  <dcterms:modified xsi:type="dcterms:W3CDTF">2022-03-31T10:52:00Z</dcterms:modified>
</cp:coreProperties>
</file>