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91" w:rsidRPr="0026227D" w:rsidRDefault="00620E91" w:rsidP="00620E91">
      <w:pPr>
        <w:pStyle w:val="Heading1"/>
        <w:jc w:val="center"/>
      </w:pPr>
      <w:bookmarkStart w:id="0" w:name="_Toc407799281"/>
      <w:bookmarkStart w:id="1" w:name="_Toc407799380"/>
      <w:bookmarkStart w:id="2" w:name="_Toc410709775"/>
      <w:r>
        <w:t xml:space="preserve">Sociology of </w:t>
      </w:r>
      <w:r w:rsidRPr="0026227D">
        <w:t>Gender</w:t>
      </w:r>
      <w:bookmarkEnd w:id="0"/>
      <w:bookmarkEnd w:id="1"/>
      <w:bookmarkEnd w:id="2"/>
    </w:p>
    <w:p w:rsidR="00620E91" w:rsidRPr="00157EB2" w:rsidRDefault="00620E91" w:rsidP="00620E91">
      <w:pPr>
        <w:autoSpaceDE w:val="0"/>
        <w:autoSpaceDN w:val="0"/>
        <w:adjustRightInd w:val="0"/>
        <w:spacing w:after="0" w:line="240" w:lineRule="auto"/>
        <w:rPr>
          <w:rFonts w:cs="TimesNewRomanPS-BoldMT"/>
          <w:b/>
          <w:bCs/>
          <w:sz w:val="24"/>
          <w:szCs w:val="24"/>
        </w:rPr>
      </w:pPr>
    </w:p>
    <w:p w:rsidR="00620E91" w:rsidRPr="00157EB2" w:rsidRDefault="00620E91" w:rsidP="00620E91">
      <w:pPr>
        <w:autoSpaceDE w:val="0"/>
        <w:autoSpaceDN w:val="0"/>
        <w:adjustRightInd w:val="0"/>
        <w:spacing w:after="0" w:line="240" w:lineRule="auto"/>
        <w:rPr>
          <w:rFonts w:cs="TimesNewRomanPS-BoldMT"/>
          <w:b/>
          <w:bCs/>
          <w:sz w:val="24"/>
          <w:szCs w:val="24"/>
          <w:u w:val="single"/>
        </w:rPr>
      </w:pPr>
      <w:r w:rsidRPr="00157EB2">
        <w:rPr>
          <w:rFonts w:cs="TimesNewRomanPS-BoldMT"/>
          <w:b/>
          <w:bCs/>
          <w:sz w:val="24"/>
          <w:szCs w:val="24"/>
          <w:u w:val="single"/>
        </w:rPr>
        <w:t>Course Description:</w:t>
      </w:r>
    </w:p>
    <w:p w:rsidR="00620E91" w:rsidRPr="00157EB2" w:rsidRDefault="00620E91" w:rsidP="00620E91">
      <w:pPr>
        <w:autoSpaceDE w:val="0"/>
        <w:autoSpaceDN w:val="0"/>
        <w:adjustRightInd w:val="0"/>
        <w:spacing w:after="0" w:line="240" w:lineRule="auto"/>
        <w:rPr>
          <w:rFonts w:cs="TimesNewRoman"/>
          <w:sz w:val="24"/>
          <w:szCs w:val="24"/>
        </w:rPr>
      </w:pPr>
    </w:p>
    <w:p w:rsidR="00620E91" w:rsidRPr="00157EB2" w:rsidRDefault="00620E91" w:rsidP="00620E91">
      <w:pPr>
        <w:autoSpaceDE w:val="0"/>
        <w:autoSpaceDN w:val="0"/>
        <w:adjustRightInd w:val="0"/>
        <w:spacing w:after="0" w:line="240" w:lineRule="auto"/>
        <w:rPr>
          <w:rFonts w:cs="TimesNewRoman"/>
          <w:sz w:val="24"/>
          <w:szCs w:val="24"/>
        </w:rPr>
      </w:pPr>
      <w:r w:rsidRPr="00157EB2">
        <w:rPr>
          <w:rFonts w:cs="TimesNewRoman"/>
          <w:sz w:val="24"/>
          <w:szCs w:val="24"/>
        </w:rPr>
        <w:t>In this course, gender will be studied in a comparative perspective using examples from Pakistan.</w:t>
      </w:r>
    </w:p>
    <w:p w:rsidR="00620E91" w:rsidRPr="00157EB2" w:rsidRDefault="00620E91" w:rsidP="00620E91">
      <w:pPr>
        <w:autoSpaceDE w:val="0"/>
        <w:autoSpaceDN w:val="0"/>
        <w:adjustRightInd w:val="0"/>
        <w:spacing w:after="0" w:line="240" w:lineRule="auto"/>
        <w:rPr>
          <w:rFonts w:cs="TimesNewRoman"/>
          <w:sz w:val="24"/>
          <w:szCs w:val="24"/>
        </w:rPr>
      </w:pPr>
      <w:r w:rsidRPr="00157EB2">
        <w:rPr>
          <w:rFonts w:cs="TimesNewRoman"/>
          <w:sz w:val="24"/>
          <w:szCs w:val="24"/>
        </w:rPr>
        <w:t>Current gender theory emphasizes the division of labor, power, social control, violence, and ideology as structural and interactional bases of inequalities among men and women of different social classes and racial ethnic groups instead as an individual trait or outcome of childhood socialization. Gender is an organizing principle of society and its institutions like culture, economy, politics, and the family. How gender is constructed varies across time and space. What is considered "natural" for a woman (or a man) to do in one society is conceived inappropriate in another. But there are not only differences between societies but also within societies -- race and class interacts with gender resulting in different norms.</w:t>
      </w:r>
    </w:p>
    <w:p w:rsidR="00620E91" w:rsidRPr="00157EB2" w:rsidRDefault="00620E91" w:rsidP="00620E91">
      <w:pPr>
        <w:rPr>
          <w:sz w:val="24"/>
          <w:szCs w:val="24"/>
        </w:rPr>
      </w:pPr>
    </w:p>
    <w:p w:rsidR="00620E91" w:rsidRPr="00157EB2" w:rsidRDefault="00620E91" w:rsidP="00620E91">
      <w:pPr>
        <w:tabs>
          <w:tab w:val="left" w:pos="6300"/>
          <w:tab w:val="left" w:pos="7170"/>
        </w:tabs>
        <w:jc w:val="both"/>
        <w:rPr>
          <w:rFonts w:cs="Times New Roman"/>
          <w:b/>
          <w:sz w:val="24"/>
          <w:szCs w:val="24"/>
          <w:u w:val="single"/>
        </w:rPr>
      </w:pPr>
      <w:r w:rsidRPr="00157EB2">
        <w:rPr>
          <w:rFonts w:cs="Times New Roman"/>
          <w:b/>
          <w:sz w:val="24"/>
          <w:szCs w:val="24"/>
          <w:u w:val="single"/>
        </w:rPr>
        <w:t>Objectives:</w:t>
      </w:r>
    </w:p>
    <w:p w:rsidR="00620E91" w:rsidRPr="00157EB2" w:rsidRDefault="00620E91" w:rsidP="00620E91">
      <w:pPr>
        <w:numPr>
          <w:ilvl w:val="0"/>
          <w:numId w:val="1"/>
        </w:numPr>
        <w:tabs>
          <w:tab w:val="left" w:pos="720"/>
        </w:tabs>
        <w:spacing w:after="0" w:line="320" w:lineRule="exact"/>
        <w:ind w:left="432" w:hanging="432"/>
        <w:rPr>
          <w:color w:val="000000"/>
          <w:sz w:val="24"/>
          <w:szCs w:val="24"/>
        </w:rPr>
      </w:pPr>
      <w:r w:rsidRPr="00157EB2">
        <w:rPr>
          <w:color w:val="000000"/>
          <w:sz w:val="24"/>
          <w:szCs w:val="24"/>
        </w:rPr>
        <w:t>To understand the culturally defined dimensions of gender and the impact of these dimensions on the lives of men and women within Society.</w:t>
      </w:r>
    </w:p>
    <w:p w:rsidR="00620E91" w:rsidRPr="00157EB2" w:rsidRDefault="00620E91" w:rsidP="00620E91">
      <w:pPr>
        <w:numPr>
          <w:ilvl w:val="0"/>
          <w:numId w:val="1"/>
        </w:numPr>
        <w:tabs>
          <w:tab w:val="left" w:pos="720"/>
        </w:tabs>
        <w:spacing w:after="0" w:line="320" w:lineRule="exact"/>
        <w:ind w:left="432" w:hanging="432"/>
        <w:rPr>
          <w:color w:val="000000"/>
          <w:sz w:val="24"/>
          <w:szCs w:val="24"/>
        </w:rPr>
      </w:pPr>
      <w:r w:rsidRPr="00157EB2">
        <w:rPr>
          <w:color w:val="000000"/>
          <w:sz w:val="24"/>
          <w:szCs w:val="24"/>
        </w:rPr>
        <w:t>To explores various areas in which gender plays a role in structuring the interactions of men and women.</w:t>
      </w:r>
    </w:p>
    <w:p w:rsidR="00620E91" w:rsidRPr="00157EB2" w:rsidRDefault="00620E91" w:rsidP="00620E91">
      <w:pPr>
        <w:numPr>
          <w:ilvl w:val="0"/>
          <w:numId w:val="1"/>
        </w:numPr>
        <w:tabs>
          <w:tab w:val="left" w:pos="720"/>
        </w:tabs>
        <w:spacing w:after="0" w:line="320" w:lineRule="exact"/>
        <w:ind w:left="432" w:hanging="432"/>
        <w:rPr>
          <w:color w:val="000000"/>
          <w:sz w:val="24"/>
          <w:szCs w:val="24"/>
        </w:rPr>
      </w:pPr>
      <w:r w:rsidRPr="00157EB2">
        <w:rPr>
          <w:rFonts w:cs="Arial"/>
          <w:sz w:val="24"/>
          <w:szCs w:val="24"/>
        </w:rPr>
        <w:t>To provide an introduction to the theoretical perspectives that has informed current thinking in gender and development.</w:t>
      </w:r>
    </w:p>
    <w:p w:rsidR="00620E91" w:rsidRPr="00157EB2" w:rsidRDefault="00620E91" w:rsidP="00620E91">
      <w:pPr>
        <w:numPr>
          <w:ilvl w:val="0"/>
          <w:numId w:val="1"/>
        </w:numPr>
        <w:tabs>
          <w:tab w:val="left" w:pos="720"/>
        </w:tabs>
        <w:spacing w:after="0" w:line="320" w:lineRule="exact"/>
        <w:ind w:left="432" w:hanging="432"/>
        <w:rPr>
          <w:rFonts w:cs="Calibri"/>
          <w:color w:val="000000"/>
          <w:sz w:val="24"/>
          <w:szCs w:val="24"/>
        </w:rPr>
      </w:pPr>
      <w:r w:rsidRPr="00157EB2">
        <w:rPr>
          <w:rFonts w:cs="Arial"/>
          <w:sz w:val="24"/>
          <w:szCs w:val="24"/>
        </w:rPr>
        <w:t xml:space="preserve"> To bring the conceptual and analytical skills in gender and development. </w:t>
      </w:r>
    </w:p>
    <w:p w:rsidR="00620E91" w:rsidRPr="00157EB2" w:rsidRDefault="00620E91" w:rsidP="00620E91">
      <w:pPr>
        <w:tabs>
          <w:tab w:val="left" w:pos="6300"/>
          <w:tab w:val="left" w:pos="7170"/>
        </w:tabs>
        <w:jc w:val="both"/>
        <w:rPr>
          <w:rFonts w:cs="Times New Roman"/>
          <w:b/>
          <w:sz w:val="24"/>
          <w:szCs w:val="24"/>
          <w:u w:val="single"/>
        </w:rPr>
      </w:pPr>
    </w:p>
    <w:p w:rsidR="00620E91" w:rsidRPr="00157EB2" w:rsidRDefault="00620E91" w:rsidP="00620E91">
      <w:pPr>
        <w:tabs>
          <w:tab w:val="left" w:pos="6300"/>
          <w:tab w:val="left" w:pos="7170"/>
        </w:tabs>
        <w:jc w:val="both"/>
        <w:rPr>
          <w:rFonts w:cs="Times New Roman"/>
          <w:b/>
          <w:sz w:val="24"/>
          <w:szCs w:val="24"/>
          <w:u w:val="single"/>
        </w:rPr>
      </w:pPr>
      <w:r w:rsidRPr="00157EB2">
        <w:rPr>
          <w:rFonts w:cs="Times New Roman"/>
          <w:b/>
          <w:sz w:val="24"/>
          <w:szCs w:val="24"/>
          <w:u w:val="single"/>
        </w:rPr>
        <w:t>Outcomes:</w:t>
      </w:r>
    </w:p>
    <w:p w:rsidR="00620E91" w:rsidRPr="00157EB2" w:rsidRDefault="00620E91" w:rsidP="00620E91">
      <w:pPr>
        <w:spacing w:after="0" w:line="320" w:lineRule="exact"/>
        <w:jc w:val="both"/>
        <w:rPr>
          <w:rFonts w:eastAsia="Times New Roman" w:cs="Times New Roman"/>
          <w:sz w:val="24"/>
          <w:szCs w:val="24"/>
        </w:rPr>
      </w:pPr>
      <w:r w:rsidRPr="00157EB2">
        <w:rPr>
          <w:rFonts w:eastAsia="Times New Roman" w:cs="Times New Roman"/>
          <w:sz w:val="24"/>
          <w:szCs w:val="24"/>
        </w:rPr>
        <w:t xml:space="preserve">The learning outcomes of the course include: </w:t>
      </w:r>
    </w:p>
    <w:p w:rsidR="00620E91" w:rsidRPr="00157EB2" w:rsidRDefault="00620E91" w:rsidP="00620E91">
      <w:pPr>
        <w:pStyle w:val="ListParagraph"/>
        <w:numPr>
          <w:ilvl w:val="0"/>
          <w:numId w:val="2"/>
        </w:numPr>
        <w:spacing w:after="0" w:line="320" w:lineRule="exact"/>
        <w:ind w:left="450" w:hanging="450"/>
        <w:rPr>
          <w:rFonts w:cs="Arial"/>
          <w:sz w:val="24"/>
          <w:szCs w:val="24"/>
        </w:rPr>
      </w:pPr>
      <w:bookmarkStart w:id="3" w:name="objectives"/>
      <w:bookmarkEnd w:id="3"/>
      <w:r w:rsidRPr="00157EB2">
        <w:rPr>
          <w:rFonts w:cs="Arial"/>
          <w:sz w:val="24"/>
          <w:szCs w:val="24"/>
        </w:rPr>
        <w:t xml:space="preserve">Demonstrate systematic understanding of the various approaches to gender and development and how these have developed. </w:t>
      </w:r>
    </w:p>
    <w:p w:rsidR="00620E91" w:rsidRPr="00157EB2" w:rsidRDefault="00620E91" w:rsidP="00620E91">
      <w:pPr>
        <w:pStyle w:val="ListParagraph"/>
        <w:numPr>
          <w:ilvl w:val="0"/>
          <w:numId w:val="2"/>
        </w:numPr>
        <w:spacing w:after="0" w:line="320" w:lineRule="exact"/>
        <w:ind w:left="450" w:hanging="450"/>
        <w:rPr>
          <w:rFonts w:cs="Arial"/>
          <w:sz w:val="24"/>
          <w:szCs w:val="24"/>
        </w:rPr>
      </w:pPr>
      <w:r w:rsidRPr="00157EB2">
        <w:rPr>
          <w:rFonts w:cs="Arial"/>
          <w:sz w:val="24"/>
          <w:szCs w:val="24"/>
        </w:rPr>
        <w:t xml:space="preserve"> Display sophisticated knowledge of theoretical issues entailed in the concepts of; sex, gender, power, empowerment, and social relations of gender. </w:t>
      </w:r>
    </w:p>
    <w:p w:rsidR="00620E91" w:rsidRPr="00157EB2" w:rsidRDefault="00620E91" w:rsidP="00620E91">
      <w:pPr>
        <w:pStyle w:val="ListParagraph"/>
        <w:numPr>
          <w:ilvl w:val="0"/>
          <w:numId w:val="2"/>
        </w:numPr>
        <w:spacing w:after="0" w:line="320" w:lineRule="exact"/>
        <w:ind w:left="450" w:hanging="450"/>
        <w:rPr>
          <w:rFonts w:cs="Arial"/>
          <w:sz w:val="24"/>
          <w:szCs w:val="24"/>
        </w:rPr>
      </w:pPr>
      <w:r w:rsidRPr="00157EB2">
        <w:rPr>
          <w:rFonts w:cs="Arial"/>
          <w:sz w:val="24"/>
          <w:szCs w:val="24"/>
        </w:rPr>
        <w:t xml:space="preserve">Acquire abilities in applying these theoretical issues to an understanding of specific situations in the developing world. </w:t>
      </w:r>
    </w:p>
    <w:p w:rsidR="00620E91" w:rsidRPr="00157EB2" w:rsidRDefault="00620E91" w:rsidP="00620E91">
      <w:pPr>
        <w:rPr>
          <w:sz w:val="24"/>
          <w:szCs w:val="24"/>
        </w:rPr>
      </w:pPr>
    </w:p>
    <w:p w:rsidR="00620E91" w:rsidRPr="00157EB2" w:rsidRDefault="00620E91" w:rsidP="00620E91">
      <w:pPr>
        <w:tabs>
          <w:tab w:val="left" w:pos="6300"/>
          <w:tab w:val="left" w:pos="7170"/>
        </w:tabs>
        <w:jc w:val="both"/>
        <w:rPr>
          <w:rFonts w:cs="Times New Roman"/>
          <w:b/>
          <w:sz w:val="24"/>
          <w:szCs w:val="24"/>
          <w:u w:val="single"/>
        </w:rPr>
      </w:pPr>
      <w:r w:rsidRPr="00157EB2">
        <w:rPr>
          <w:rFonts w:cs="Times New Roman"/>
          <w:b/>
          <w:sz w:val="24"/>
          <w:szCs w:val="24"/>
          <w:u w:val="single"/>
        </w:rPr>
        <w:t>Course Requirements and Grading</w:t>
      </w:r>
    </w:p>
    <w:p w:rsidR="00620E91" w:rsidRPr="00157EB2" w:rsidRDefault="00620E91" w:rsidP="00620E91">
      <w:pPr>
        <w:jc w:val="both"/>
        <w:rPr>
          <w:sz w:val="24"/>
          <w:szCs w:val="24"/>
        </w:rPr>
      </w:pPr>
      <w:r w:rsidRPr="00157EB2">
        <w:rPr>
          <w:b/>
          <w:sz w:val="24"/>
          <w:szCs w:val="24"/>
        </w:rPr>
        <w:lastRenderedPageBreak/>
        <w:t>Reflection Papers:</w:t>
      </w:r>
      <w:r w:rsidRPr="00157EB2">
        <w:rPr>
          <w:sz w:val="24"/>
          <w:szCs w:val="24"/>
        </w:rPr>
        <w:t xml:space="preserve"> Students are required to write a reflection paper of no more than 500 words on each of the assigned readings. In this paper, students will critically reflect on the day’s readings. Reflection papers must be </w:t>
      </w:r>
      <w:r w:rsidRPr="00157EB2">
        <w:rPr>
          <w:b/>
          <w:sz w:val="24"/>
          <w:szCs w:val="24"/>
          <w:u w:val="single"/>
        </w:rPr>
        <w:t>submitted during the class time</w:t>
      </w:r>
      <w:r w:rsidRPr="00157EB2">
        <w:rPr>
          <w:sz w:val="24"/>
          <w:szCs w:val="24"/>
        </w:rPr>
        <w:t>. Cumulative percentage of all reflection papers will be 20% of the final grade.</w:t>
      </w:r>
    </w:p>
    <w:p w:rsidR="00620E91" w:rsidRPr="00157EB2" w:rsidRDefault="00620E91" w:rsidP="00620E91">
      <w:pPr>
        <w:jc w:val="both"/>
        <w:rPr>
          <w:sz w:val="24"/>
          <w:szCs w:val="24"/>
        </w:rPr>
      </w:pPr>
      <w:r w:rsidRPr="00157EB2">
        <w:rPr>
          <w:b/>
          <w:sz w:val="24"/>
          <w:szCs w:val="24"/>
        </w:rPr>
        <w:t xml:space="preserve">Research </w:t>
      </w:r>
      <w:proofErr w:type="spellStart"/>
      <w:r w:rsidRPr="00157EB2">
        <w:rPr>
          <w:b/>
          <w:sz w:val="24"/>
          <w:szCs w:val="24"/>
        </w:rPr>
        <w:t>Paper</w:t>
      </w:r>
      <w:proofErr w:type="gramStart"/>
      <w:r w:rsidRPr="00157EB2">
        <w:rPr>
          <w:b/>
          <w:sz w:val="24"/>
          <w:szCs w:val="24"/>
        </w:rPr>
        <w:t>:</w:t>
      </w:r>
      <w:r w:rsidRPr="00157EB2">
        <w:rPr>
          <w:b/>
          <w:sz w:val="24"/>
          <w:szCs w:val="24"/>
          <w:u w:val="single"/>
        </w:rPr>
        <w:t>Students</w:t>
      </w:r>
      <w:proofErr w:type="spellEnd"/>
      <w:proofErr w:type="gramEnd"/>
      <w:r w:rsidRPr="00157EB2">
        <w:rPr>
          <w:b/>
          <w:sz w:val="24"/>
          <w:szCs w:val="24"/>
          <w:u w:val="single"/>
        </w:rPr>
        <w:t xml:space="preserve"> are required to write a 15-20 page research paper.</w:t>
      </w:r>
      <w:r w:rsidRPr="00157EB2">
        <w:rPr>
          <w:sz w:val="24"/>
          <w:szCs w:val="24"/>
        </w:rPr>
        <w:t xml:space="preserve"> Topic of the paper should fall within the framework of the concepts covered in the class. At the minimum, </w:t>
      </w:r>
      <w:r w:rsidRPr="00157EB2">
        <w:rPr>
          <w:b/>
          <w:sz w:val="24"/>
          <w:szCs w:val="24"/>
          <w:u w:val="single"/>
        </w:rPr>
        <w:t>paper should include at least six articles from academic journals (or two books and two academic articles).</w:t>
      </w:r>
      <w:r w:rsidRPr="00157EB2">
        <w:rPr>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157EB2">
        <w:rPr>
          <w:b/>
          <w:sz w:val="24"/>
          <w:szCs w:val="24"/>
          <w:u w:val="single"/>
        </w:rPr>
        <w:t>Research papers should be submitted three weeks before the final term exams</w:t>
      </w:r>
      <w:r w:rsidRPr="00157EB2">
        <w:rPr>
          <w:sz w:val="24"/>
          <w:szCs w:val="24"/>
        </w:rPr>
        <w:t>.</w:t>
      </w:r>
    </w:p>
    <w:p w:rsidR="00620E91" w:rsidRPr="00157EB2" w:rsidRDefault="00620E91" w:rsidP="00620E91">
      <w:pPr>
        <w:jc w:val="both"/>
        <w:rPr>
          <w:sz w:val="24"/>
          <w:szCs w:val="24"/>
        </w:rPr>
      </w:pPr>
      <w:r w:rsidRPr="00157EB2">
        <w:rPr>
          <w:b/>
          <w:sz w:val="24"/>
          <w:szCs w:val="24"/>
        </w:rPr>
        <w:t>Presentation (Research Paper):</w:t>
      </w:r>
      <w:r w:rsidRPr="00157EB2">
        <w:rPr>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620E91" w:rsidRPr="00157EB2" w:rsidRDefault="00620E91" w:rsidP="00620E91">
      <w:pPr>
        <w:jc w:val="both"/>
        <w:rPr>
          <w:sz w:val="24"/>
          <w:szCs w:val="24"/>
        </w:rPr>
      </w:pPr>
      <w:r w:rsidRPr="00157EB2">
        <w:rPr>
          <w:b/>
          <w:sz w:val="24"/>
          <w:szCs w:val="24"/>
        </w:rPr>
        <w:t>Book Report:</w:t>
      </w:r>
      <w:r w:rsidRPr="00157EB2">
        <w:rPr>
          <w:sz w:val="24"/>
          <w:szCs w:val="24"/>
        </w:rPr>
        <w:t xml:space="preserve"> Students are required to write a critical book report on a classical text and discuss it in the classroom </w:t>
      </w:r>
      <w:r w:rsidRPr="00157EB2">
        <w:rPr>
          <w:b/>
          <w:sz w:val="24"/>
          <w:szCs w:val="24"/>
          <w:u w:val="single"/>
        </w:rPr>
        <w:t>(Books for report must be approved by the instructor).</w:t>
      </w:r>
      <w:r w:rsidRPr="00157EB2">
        <w:rPr>
          <w:sz w:val="24"/>
          <w:szCs w:val="24"/>
        </w:rPr>
        <w:t xml:space="preserve"> Specific instructions for this assignment will be distributed during the fifth week of the classes. On average, length of this report should be anywhere between 9-12 pages. Total worth of this book report is 10 %. </w:t>
      </w:r>
      <w:r w:rsidRPr="00157EB2">
        <w:rPr>
          <w:b/>
          <w:sz w:val="24"/>
          <w:szCs w:val="24"/>
          <w:u w:val="single"/>
        </w:rPr>
        <w:t>Book report should be submitted one week before the midterm exams</w:t>
      </w:r>
    </w:p>
    <w:p w:rsidR="00620E91" w:rsidRPr="00157EB2" w:rsidRDefault="00620E91" w:rsidP="00620E91">
      <w:pPr>
        <w:jc w:val="both"/>
        <w:rPr>
          <w:sz w:val="24"/>
          <w:szCs w:val="24"/>
        </w:rPr>
      </w:pPr>
      <w:r w:rsidRPr="00157EB2">
        <w:rPr>
          <w:b/>
          <w:sz w:val="24"/>
          <w:szCs w:val="24"/>
        </w:rPr>
        <w:t>Exams:</w:t>
      </w:r>
      <w:r w:rsidRPr="00157EB2">
        <w:rPr>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620E91" w:rsidRPr="00157EB2" w:rsidRDefault="00620E91" w:rsidP="00620E91">
      <w:pPr>
        <w:jc w:val="both"/>
        <w:rPr>
          <w:sz w:val="24"/>
          <w:szCs w:val="24"/>
        </w:rPr>
      </w:pPr>
      <w:r w:rsidRPr="00157EB2">
        <w:rPr>
          <w:b/>
          <w:sz w:val="24"/>
          <w:szCs w:val="24"/>
        </w:rPr>
        <w:t>Attendance &amp; Class Participation:</w:t>
      </w:r>
      <w:r w:rsidRPr="00157EB2">
        <w:rPr>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w:t>
      </w:r>
      <w:r w:rsidRPr="00157EB2">
        <w:rPr>
          <w:sz w:val="24"/>
          <w:szCs w:val="24"/>
        </w:rPr>
        <w:lastRenderedPageBreak/>
        <w:t xml:space="preserve">activities. Overall, combined grade for attendance and participation is 5%of the student’s final grade. </w:t>
      </w:r>
    </w:p>
    <w:p w:rsidR="00620E91" w:rsidRPr="00157EB2" w:rsidRDefault="00620E91" w:rsidP="00620E91">
      <w:pPr>
        <w:tabs>
          <w:tab w:val="left" w:pos="1320"/>
        </w:tabs>
        <w:rPr>
          <w:sz w:val="24"/>
          <w:szCs w:val="24"/>
        </w:rPr>
      </w:pPr>
      <w:r w:rsidRPr="00157EB2">
        <w:rPr>
          <w:b/>
          <w:sz w:val="24"/>
          <w:szCs w:val="24"/>
          <w:u w:val="single"/>
        </w:rPr>
        <w:t>Grade Evaluation Criteria</w:t>
      </w:r>
    </w:p>
    <w:p w:rsidR="00620E91" w:rsidRPr="00157EB2" w:rsidRDefault="00620E91" w:rsidP="00620E91">
      <w:pPr>
        <w:tabs>
          <w:tab w:val="left" w:pos="930"/>
        </w:tabs>
        <w:rPr>
          <w:sz w:val="24"/>
          <w:szCs w:val="24"/>
        </w:rPr>
      </w:pPr>
      <w:r w:rsidRPr="00157EB2">
        <w:rPr>
          <w:sz w:val="24"/>
          <w:szCs w:val="24"/>
        </w:rPr>
        <w:t>Following is the criteria for the distribution of marks to evaluate final grade in a semester.</w:t>
      </w:r>
    </w:p>
    <w:p w:rsidR="00620E91" w:rsidRPr="00157EB2" w:rsidRDefault="00620E91" w:rsidP="00620E91">
      <w:pPr>
        <w:tabs>
          <w:tab w:val="left" w:pos="930"/>
        </w:tabs>
        <w:rPr>
          <w:sz w:val="24"/>
          <w:szCs w:val="24"/>
        </w:rPr>
      </w:pPr>
    </w:p>
    <w:p w:rsidR="00620E91" w:rsidRPr="00157EB2" w:rsidRDefault="00620E91" w:rsidP="00620E91">
      <w:pPr>
        <w:tabs>
          <w:tab w:val="left" w:pos="930"/>
        </w:tabs>
        <w:rPr>
          <w:b/>
          <w:sz w:val="24"/>
          <w:szCs w:val="24"/>
        </w:rPr>
      </w:pPr>
      <w:r w:rsidRPr="00157EB2">
        <w:rPr>
          <w:b/>
          <w:sz w:val="24"/>
          <w:szCs w:val="24"/>
        </w:rPr>
        <w:t>Marks Evaluation</w:t>
      </w:r>
      <w:r w:rsidRPr="00157EB2">
        <w:rPr>
          <w:b/>
          <w:sz w:val="24"/>
          <w:szCs w:val="24"/>
        </w:rPr>
        <w:tab/>
      </w:r>
      <w:r w:rsidRPr="00157EB2">
        <w:rPr>
          <w:b/>
          <w:sz w:val="24"/>
          <w:szCs w:val="24"/>
        </w:rPr>
        <w:tab/>
        <w:t xml:space="preserve">Marks in percentage </w:t>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r w:rsidRPr="00157EB2">
        <w:rPr>
          <w:b/>
          <w:sz w:val="24"/>
          <w:szCs w:val="24"/>
        </w:rPr>
        <w:tab/>
      </w:r>
    </w:p>
    <w:p w:rsidR="00620E91" w:rsidRPr="00157EB2" w:rsidRDefault="00620E91" w:rsidP="00620E91">
      <w:pPr>
        <w:jc w:val="both"/>
        <w:rPr>
          <w:sz w:val="24"/>
          <w:szCs w:val="24"/>
        </w:rPr>
      </w:pPr>
      <w:r w:rsidRPr="00157EB2">
        <w:rPr>
          <w:sz w:val="24"/>
          <w:szCs w:val="24"/>
        </w:rPr>
        <w:t>Reflection Papers</w:t>
      </w:r>
      <w:r w:rsidRPr="00157EB2">
        <w:rPr>
          <w:sz w:val="24"/>
          <w:szCs w:val="24"/>
        </w:rPr>
        <w:tab/>
      </w:r>
      <w:r w:rsidRPr="00157EB2">
        <w:rPr>
          <w:sz w:val="24"/>
          <w:szCs w:val="24"/>
        </w:rPr>
        <w:tab/>
      </w:r>
      <w:r w:rsidRPr="00157EB2">
        <w:rPr>
          <w:sz w:val="24"/>
          <w:szCs w:val="24"/>
        </w:rPr>
        <w:tab/>
        <w:t>20%</w:t>
      </w:r>
    </w:p>
    <w:p w:rsidR="00620E91" w:rsidRPr="00157EB2" w:rsidRDefault="00620E91" w:rsidP="00620E91">
      <w:pPr>
        <w:jc w:val="both"/>
        <w:rPr>
          <w:sz w:val="24"/>
          <w:szCs w:val="24"/>
        </w:rPr>
      </w:pPr>
      <w:r w:rsidRPr="00157EB2">
        <w:rPr>
          <w:sz w:val="24"/>
          <w:szCs w:val="24"/>
        </w:rPr>
        <w:t>Research Paper</w:t>
      </w:r>
      <w:r w:rsidRPr="00157EB2">
        <w:rPr>
          <w:sz w:val="24"/>
          <w:szCs w:val="24"/>
        </w:rPr>
        <w:tab/>
      </w:r>
      <w:r w:rsidRPr="00157EB2">
        <w:rPr>
          <w:sz w:val="24"/>
          <w:szCs w:val="24"/>
        </w:rPr>
        <w:tab/>
      </w:r>
      <w:r w:rsidRPr="00157EB2">
        <w:rPr>
          <w:sz w:val="24"/>
          <w:szCs w:val="24"/>
        </w:rPr>
        <w:tab/>
        <w:t>15%</w:t>
      </w:r>
    </w:p>
    <w:p w:rsidR="00620E91" w:rsidRPr="00157EB2" w:rsidRDefault="00620E91" w:rsidP="00620E91">
      <w:pPr>
        <w:jc w:val="both"/>
        <w:rPr>
          <w:sz w:val="24"/>
          <w:szCs w:val="24"/>
        </w:rPr>
      </w:pPr>
      <w:r w:rsidRPr="00157EB2">
        <w:rPr>
          <w:sz w:val="24"/>
          <w:szCs w:val="24"/>
        </w:rPr>
        <w:t>Presentation (Research Paper)</w:t>
      </w:r>
      <w:r w:rsidRPr="00157EB2">
        <w:rPr>
          <w:sz w:val="24"/>
          <w:szCs w:val="24"/>
        </w:rPr>
        <w:tab/>
        <w:t xml:space="preserve">  5%</w:t>
      </w:r>
    </w:p>
    <w:p w:rsidR="00620E91" w:rsidRPr="00157EB2" w:rsidRDefault="00620E91" w:rsidP="00620E91">
      <w:pPr>
        <w:jc w:val="both"/>
        <w:rPr>
          <w:sz w:val="24"/>
          <w:szCs w:val="24"/>
        </w:rPr>
      </w:pPr>
      <w:r w:rsidRPr="00157EB2">
        <w:rPr>
          <w:sz w:val="24"/>
          <w:szCs w:val="24"/>
        </w:rPr>
        <w:t>Book Report</w:t>
      </w:r>
      <w:r w:rsidRPr="00157EB2">
        <w:rPr>
          <w:sz w:val="24"/>
          <w:szCs w:val="24"/>
        </w:rPr>
        <w:tab/>
      </w:r>
      <w:r w:rsidRPr="00157EB2">
        <w:rPr>
          <w:sz w:val="24"/>
          <w:szCs w:val="24"/>
        </w:rPr>
        <w:tab/>
      </w:r>
      <w:r w:rsidRPr="00157EB2">
        <w:rPr>
          <w:sz w:val="24"/>
          <w:szCs w:val="24"/>
        </w:rPr>
        <w:tab/>
      </w:r>
      <w:r w:rsidRPr="00157EB2">
        <w:rPr>
          <w:sz w:val="24"/>
          <w:szCs w:val="24"/>
        </w:rPr>
        <w:tab/>
        <w:t>10%</w:t>
      </w:r>
    </w:p>
    <w:p w:rsidR="00620E91" w:rsidRPr="00157EB2" w:rsidRDefault="00620E91" w:rsidP="00620E91">
      <w:pPr>
        <w:jc w:val="both"/>
        <w:rPr>
          <w:sz w:val="24"/>
          <w:szCs w:val="24"/>
        </w:rPr>
      </w:pPr>
      <w:r w:rsidRPr="00157EB2">
        <w:rPr>
          <w:sz w:val="24"/>
          <w:szCs w:val="24"/>
        </w:rPr>
        <w:t>Midterm Exam</w:t>
      </w:r>
      <w:r w:rsidRPr="00157EB2">
        <w:rPr>
          <w:sz w:val="24"/>
          <w:szCs w:val="24"/>
        </w:rPr>
        <w:tab/>
      </w:r>
      <w:r w:rsidRPr="00157EB2">
        <w:rPr>
          <w:sz w:val="24"/>
          <w:szCs w:val="24"/>
        </w:rPr>
        <w:tab/>
      </w:r>
      <w:r w:rsidRPr="00157EB2">
        <w:rPr>
          <w:sz w:val="24"/>
          <w:szCs w:val="24"/>
        </w:rPr>
        <w:tab/>
        <w:t>20%</w:t>
      </w:r>
    </w:p>
    <w:p w:rsidR="00620E91" w:rsidRPr="00157EB2" w:rsidRDefault="00620E91" w:rsidP="00620E91">
      <w:pPr>
        <w:jc w:val="both"/>
        <w:rPr>
          <w:sz w:val="24"/>
          <w:szCs w:val="24"/>
        </w:rPr>
      </w:pPr>
      <w:r w:rsidRPr="00157EB2">
        <w:rPr>
          <w:sz w:val="24"/>
          <w:szCs w:val="24"/>
        </w:rPr>
        <w:t xml:space="preserve">Final Term </w:t>
      </w:r>
      <w:r w:rsidRPr="00157EB2">
        <w:rPr>
          <w:sz w:val="24"/>
          <w:szCs w:val="24"/>
        </w:rPr>
        <w:tab/>
      </w:r>
      <w:r w:rsidRPr="00157EB2">
        <w:rPr>
          <w:sz w:val="24"/>
          <w:szCs w:val="24"/>
        </w:rPr>
        <w:tab/>
      </w:r>
      <w:r w:rsidRPr="00157EB2">
        <w:rPr>
          <w:sz w:val="24"/>
          <w:szCs w:val="24"/>
        </w:rPr>
        <w:tab/>
      </w:r>
      <w:r w:rsidRPr="00157EB2">
        <w:rPr>
          <w:sz w:val="24"/>
          <w:szCs w:val="24"/>
        </w:rPr>
        <w:tab/>
        <w:t>25%</w:t>
      </w:r>
    </w:p>
    <w:p w:rsidR="00620E91" w:rsidRPr="00157EB2" w:rsidRDefault="00620E91" w:rsidP="00620E91">
      <w:pPr>
        <w:jc w:val="both"/>
        <w:rPr>
          <w:sz w:val="24"/>
          <w:szCs w:val="24"/>
        </w:rPr>
      </w:pPr>
      <w:r w:rsidRPr="00157EB2">
        <w:rPr>
          <w:sz w:val="24"/>
          <w:szCs w:val="24"/>
        </w:rPr>
        <w:t>Attendance &amp; Class Participation</w:t>
      </w:r>
      <w:r w:rsidRPr="00157EB2">
        <w:rPr>
          <w:sz w:val="24"/>
          <w:szCs w:val="24"/>
        </w:rPr>
        <w:tab/>
        <w:t xml:space="preserve">  5%</w:t>
      </w:r>
    </w:p>
    <w:p w:rsidR="00620E91" w:rsidRPr="00157EB2" w:rsidRDefault="00620E91" w:rsidP="00620E91">
      <w:pPr>
        <w:jc w:val="both"/>
        <w:rPr>
          <w:sz w:val="24"/>
          <w:szCs w:val="24"/>
        </w:rPr>
      </w:pPr>
      <w:r w:rsidRPr="00157EB2">
        <w:rPr>
          <w:sz w:val="24"/>
          <w:szCs w:val="24"/>
        </w:rPr>
        <w:t>__________________________________</w:t>
      </w:r>
    </w:p>
    <w:p w:rsidR="00620E91" w:rsidRPr="00157EB2" w:rsidRDefault="00620E91" w:rsidP="00620E91">
      <w:pPr>
        <w:jc w:val="both"/>
        <w:rPr>
          <w:sz w:val="24"/>
          <w:szCs w:val="24"/>
        </w:rPr>
      </w:pPr>
      <w:r w:rsidRPr="00157EB2">
        <w:rPr>
          <w:sz w:val="24"/>
          <w:szCs w:val="24"/>
        </w:rPr>
        <w:t xml:space="preserve">Total </w:t>
      </w:r>
      <w:r w:rsidRPr="00157EB2">
        <w:rPr>
          <w:sz w:val="24"/>
          <w:szCs w:val="24"/>
        </w:rPr>
        <w:tab/>
      </w:r>
      <w:r w:rsidRPr="00157EB2">
        <w:rPr>
          <w:sz w:val="24"/>
          <w:szCs w:val="24"/>
        </w:rPr>
        <w:tab/>
      </w:r>
      <w:r w:rsidRPr="00157EB2">
        <w:rPr>
          <w:sz w:val="24"/>
          <w:szCs w:val="24"/>
        </w:rPr>
        <w:tab/>
      </w:r>
      <w:r w:rsidRPr="00157EB2">
        <w:rPr>
          <w:sz w:val="24"/>
          <w:szCs w:val="24"/>
        </w:rPr>
        <w:tab/>
      </w:r>
      <w:r w:rsidRPr="00157EB2">
        <w:rPr>
          <w:sz w:val="24"/>
          <w:szCs w:val="24"/>
        </w:rPr>
        <w:tab/>
        <w:t>100%</w:t>
      </w:r>
    </w:p>
    <w:p w:rsidR="00620E91" w:rsidRPr="00157EB2" w:rsidRDefault="00620E91" w:rsidP="00620E91">
      <w:pPr>
        <w:spacing w:before="240"/>
        <w:jc w:val="both"/>
        <w:rPr>
          <w:b/>
          <w:sz w:val="24"/>
          <w:szCs w:val="24"/>
        </w:rPr>
      </w:pPr>
      <w:r w:rsidRPr="00157EB2">
        <w:rPr>
          <w:b/>
          <w:sz w:val="24"/>
          <w:szCs w:val="24"/>
        </w:rPr>
        <w:t>COURSE POLICIES</w:t>
      </w:r>
    </w:p>
    <w:p w:rsidR="00620E91" w:rsidRPr="00157EB2" w:rsidRDefault="00620E91" w:rsidP="00620E91">
      <w:pPr>
        <w:spacing w:before="240"/>
        <w:jc w:val="both"/>
        <w:rPr>
          <w:sz w:val="24"/>
          <w:szCs w:val="24"/>
        </w:rPr>
      </w:pPr>
      <w:r w:rsidRPr="00157EB2">
        <w:rPr>
          <w:b/>
          <w:sz w:val="24"/>
          <w:szCs w:val="24"/>
        </w:rPr>
        <w:t>A Note on Academic Honesty:</w:t>
      </w:r>
      <w:r w:rsidRPr="00157EB2">
        <w:rPr>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620E91" w:rsidRPr="00157EB2" w:rsidRDefault="00620E91" w:rsidP="00620E91">
      <w:pPr>
        <w:spacing w:before="240"/>
        <w:jc w:val="both"/>
        <w:rPr>
          <w:sz w:val="24"/>
          <w:szCs w:val="24"/>
        </w:rPr>
      </w:pPr>
      <w:r w:rsidRPr="00157EB2">
        <w:rPr>
          <w:b/>
          <w:sz w:val="24"/>
          <w:szCs w:val="24"/>
        </w:rPr>
        <w:t>Make-up Exams and Late Assignments:</w:t>
      </w:r>
      <w:r w:rsidRPr="00157EB2">
        <w:rPr>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8569"/>
      </w:tblGrid>
      <w:tr w:rsidR="00620E91" w:rsidRPr="00157EB2" w:rsidTr="00A45342">
        <w:tc>
          <w:tcPr>
            <w:tcW w:w="791" w:type="dxa"/>
          </w:tcPr>
          <w:p w:rsidR="00620E91" w:rsidRPr="00157EB2" w:rsidRDefault="00620E91" w:rsidP="00A45342">
            <w:pPr>
              <w:jc w:val="center"/>
              <w:rPr>
                <w:b/>
                <w:sz w:val="24"/>
                <w:szCs w:val="24"/>
              </w:rPr>
            </w:pPr>
            <w:r w:rsidRPr="00157EB2">
              <w:rPr>
                <w:b/>
                <w:sz w:val="24"/>
                <w:szCs w:val="24"/>
              </w:rPr>
              <w:lastRenderedPageBreak/>
              <w:t>Week</w:t>
            </w:r>
          </w:p>
        </w:tc>
        <w:tc>
          <w:tcPr>
            <w:tcW w:w="8785" w:type="dxa"/>
          </w:tcPr>
          <w:p w:rsidR="00620E91" w:rsidRPr="00157EB2" w:rsidRDefault="00620E91" w:rsidP="00A45342">
            <w:pPr>
              <w:jc w:val="center"/>
              <w:rPr>
                <w:b/>
                <w:sz w:val="24"/>
                <w:szCs w:val="24"/>
              </w:rPr>
            </w:pPr>
            <w:r w:rsidRPr="00157EB2">
              <w:rPr>
                <w:b/>
                <w:sz w:val="24"/>
                <w:szCs w:val="24"/>
              </w:rPr>
              <w:t>Topics</w:t>
            </w:r>
          </w:p>
          <w:p w:rsidR="00620E91" w:rsidRPr="00157EB2" w:rsidRDefault="00620E91" w:rsidP="00A45342">
            <w:pPr>
              <w:jc w:val="center"/>
              <w:rPr>
                <w:b/>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1</w:t>
            </w:r>
          </w:p>
        </w:tc>
        <w:tc>
          <w:tcPr>
            <w:tcW w:w="8785" w:type="dxa"/>
          </w:tcPr>
          <w:p w:rsidR="00620E91" w:rsidRPr="00157EB2" w:rsidRDefault="00620E91" w:rsidP="00A45342">
            <w:pPr>
              <w:rPr>
                <w:b/>
                <w:sz w:val="24"/>
                <w:szCs w:val="24"/>
                <w:u w:val="single"/>
              </w:rPr>
            </w:pPr>
            <w:r w:rsidRPr="00157EB2">
              <w:rPr>
                <w:b/>
                <w:sz w:val="24"/>
                <w:szCs w:val="24"/>
                <w:u w:val="single"/>
              </w:rPr>
              <w:t>Theoretical Perspectives</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1</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sz w:val="24"/>
                <w:szCs w:val="24"/>
              </w:rPr>
            </w:pPr>
            <w:proofErr w:type="spellStart"/>
            <w:r w:rsidRPr="00157EB2">
              <w:rPr>
                <w:sz w:val="24"/>
                <w:szCs w:val="24"/>
              </w:rPr>
              <w:t>Parpart</w:t>
            </w:r>
            <w:proofErr w:type="spellEnd"/>
            <w:r w:rsidRPr="00157EB2">
              <w:rPr>
                <w:sz w:val="24"/>
                <w:szCs w:val="24"/>
              </w:rPr>
              <w:t xml:space="preserve">, J. L., Connelly, P., &amp; </w:t>
            </w:r>
            <w:proofErr w:type="spellStart"/>
            <w:r w:rsidRPr="00157EB2">
              <w:rPr>
                <w:sz w:val="24"/>
                <w:szCs w:val="24"/>
              </w:rPr>
              <w:t>Barriteau</w:t>
            </w:r>
            <w:proofErr w:type="spellEnd"/>
            <w:r w:rsidRPr="00157EB2">
              <w:rPr>
                <w:sz w:val="24"/>
                <w:szCs w:val="24"/>
              </w:rPr>
              <w:t xml:space="preserve">, E. (Eds.). (2000). </w:t>
            </w:r>
            <w:r w:rsidRPr="00157EB2">
              <w:rPr>
                <w:i/>
                <w:iCs/>
                <w:sz w:val="24"/>
                <w:szCs w:val="24"/>
              </w:rPr>
              <w:t>Theoretical perspectives on gender and development</w:t>
            </w:r>
            <w:r w:rsidRPr="00157EB2">
              <w:rPr>
                <w:sz w:val="24"/>
                <w:szCs w:val="24"/>
              </w:rPr>
              <w:t>. IDRC.</w:t>
            </w:r>
          </w:p>
          <w:p w:rsidR="00620E91" w:rsidRPr="00157EB2" w:rsidRDefault="00620E91" w:rsidP="00A45342">
            <w:pPr>
              <w:rPr>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Blumberg, R. L. (1984). A general theory of gender stratification.</w:t>
            </w:r>
          </w:p>
          <w:p w:rsidR="00620E91" w:rsidRPr="00157EB2" w:rsidRDefault="00620E91" w:rsidP="00A45342">
            <w:pPr>
              <w:rPr>
                <w:rFonts w:eastAsia="Times New Roman" w:cs="Times New Roman"/>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Hagan, J., Simpson, J., &amp; Gillis, A. R. (1987). Class in the household: A power-control theory of gender and delinquency. </w:t>
            </w:r>
            <w:r w:rsidRPr="00157EB2">
              <w:rPr>
                <w:rFonts w:eastAsia="Times New Roman" w:cs="Times New Roman"/>
                <w:i/>
                <w:iCs/>
                <w:sz w:val="24"/>
                <w:szCs w:val="24"/>
              </w:rPr>
              <w:t>American Journal of Sociology</w:t>
            </w:r>
            <w:r w:rsidRPr="00157EB2">
              <w:rPr>
                <w:rFonts w:eastAsia="Times New Roman" w:cs="Times New Roman"/>
                <w:sz w:val="24"/>
                <w:szCs w:val="24"/>
              </w:rPr>
              <w:t>, 788-816.</w:t>
            </w: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2</w:t>
            </w:r>
          </w:p>
        </w:tc>
        <w:tc>
          <w:tcPr>
            <w:tcW w:w="8785" w:type="dxa"/>
          </w:tcPr>
          <w:p w:rsidR="00620E91" w:rsidRPr="00157EB2" w:rsidRDefault="00620E91" w:rsidP="00A45342">
            <w:pPr>
              <w:autoSpaceDE w:val="0"/>
              <w:autoSpaceDN w:val="0"/>
              <w:adjustRightInd w:val="0"/>
              <w:rPr>
                <w:b/>
                <w:sz w:val="24"/>
                <w:szCs w:val="24"/>
                <w:u w:val="single"/>
              </w:rPr>
            </w:pPr>
            <w:r w:rsidRPr="00157EB2">
              <w:rPr>
                <w:b/>
                <w:sz w:val="24"/>
                <w:szCs w:val="24"/>
                <w:u w:val="single"/>
              </w:rPr>
              <w:t xml:space="preserve">The Social Construction of Gender: Gender Socialization </w:t>
            </w:r>
          </w:p>
          <w:p w:rsidR="00620E91" w:rsidRPr="00157EB2" w:rsidRDefault="00620E91" w:rsidP="00A45342">
            <w:pPr>
              <w:rPr>
                <w:rFonts w:eastAsia="Times New Roman" w:cs="Times New Roman"/>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11</w:t>
            </w:r>
          </w:p>
          <w:p w:rsidR="00620E91" w:rsidRPr="00157EB2" w:rsidRDefault="00620E91" w:rsidP="00A45342">
            <w:pPr>
              <w:autoSpaceDE w:val="0"/>
              <w:autoSpaceDN w:val="0"/>
              <w:adjustRightInd w:val="0"/>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Lorber</w:t>
            </w:r>
            <w:proofErr w:type="spellEnd"/>
            <w:r w:rsidRPr="00157EB2">
              <w:rPr>
                <w:rFonts w:eastAsia="Times New Roman" w:cs="Times New Roman"/>
                <w:sz w:val="24"/>
                <w:szCs w:val="24"/>
              </w:rPr>
              <w:t xml:space="preserve">, J. (2003). The social construction of gender. </w:t>
            </w:r>
            <w:r w:rsidRPr="00157EB2">
              <w:rPr>
                <w:rFonts w:eastAsia="Times New Roman" w:cs="Times New Roman"/>
                <w:i/>
                <w:iCs/>
                <w:sz w:val="24"/>
                <w:szCs w:val="24"/>
              </w:rPr>
              <w:t>The social construction of difference and inequality: Race, class, gender, and sexuality</w:t>
            </w:r>
            <w:r w:rsidRPr="00157EB2">
              <w:rPr>
                <w:rFonts w:eastAsia="Times New Roman" w:cs="Times New Roman"/>
                <w:sz w:val="24"/>
                <w:szCs w:val="24"/>
              </w:rPr>
              <w:t>, 99-106.</w:t>
            </w:r>
          </w:p>
          <w:p w:rsidR="00620E91" w:rsidRPr="00157EB2" w:rsidRDefault="00620E91" w:rsidP="00A45342">
            <w:pPr>
              <w:autoSpaceDE w:val="0"/>
              <w:autoSpaceDN w:val="0"/>
              <w:adjustRightInd w:val="0"/>
              <w:rPr>
                <w:sz w:val="24"/>
                <w:szCs w:val="24"/>
              </w:rPr>
            </w:pPr>
          </w:p>
          <w:p w:rsidR="00620E91" w:rsidRPr="00157EB2" w:rsidRDefault="00620E91" w:rsidP="00A45342">
            <w:pPr>
              <w:autoSpaceDE w:val="0"/>
              <w:autoSpaceDN w:val="0"/>
              <w:adjustRightInd w:val="0"/>
              <w:rPr>
                <w:sz w:val="24"/>
                <w:szCs w:val="24"/>
              </w:rPr>
            </w:pPr>
            <w:r w:rsidRPr="00157EB2">
              <w:rPr>
                <w:sz w:val="24"/>
                <w:szCs w:val="24"/>
              </w:rPr>
              <w:t xml:space="preserve">Freud, S. (1994). The social construction of gender. </w:t>
            </w:r>
            <w:r w:rsidRPr="00157EB2">
              <w:rPr>
                <w:i/>
                <w:iCs/>
                <w:sz w:val="24"/>
                <w:szCs w:val="24"/>
              </w:rPr>
              <w:t>Journal of Adult Development</w:t>
            </w:r>
            <w:r w:rsidRPr="00157EB2">
              <w:rPr>
                <w:sz w:val="24"/>
                <w:szCs w:val="24"/>
              </w:rPr>
              <w:t xml:space="preserve">, </w:t>
            </w:r>
            <w:r w:rsidRPr="00157EB2">
              <w:rPr>
                <w:i/>
                <w:iCs/>
                <w:sz w:val="24"/>
                <w:szCs w:val="24"/>
              </w:rPr>
              <w:t>1</w:t>
            </w:r>
            <w:r w:rsidRPr="00157EB2">
              <w:rPr>
                <w:sz w:val="24"/>
                <w:szCs w:val="24"/>
              </w:rPr>
              <w:t>(1), 37-45</w:t>
            </w:r>
          </w:p>
          <w:p w:rsidR="00620E91" w:rsidRPr="00157EB2" w:rsidRDefault="00620E91" w:rsidP="00A45342">
            <w:pPr>
              <w:autoSpaceDE w:val="0"/>
              <w:autoSpaceDN w:val="0"/>
              <w:adjustRightInd w:val="0"/>
              <w:rPr>
                <w:sz w:val="24"/>
                <w:szCs w:val="24"/>
              </w:rPr>
            </w:pPr>
          </w:p>
          <w:p w:rsidR="00620E91" w:rsidRPr="00157EB2" w:rsidRDefault="00620E91" w:rsidP="00A45342">
            <w:pPr>
              <w:autoSpaceDE w:val="0"/>
              <w:autoSpaceDN w:val="0"/>
              <w:adjustRightInd w:val="0"/>
              <w:rPr>
                <w:sz w:val="24"/>
                <w:szCs w:val="24"/>
              </w:rPr>
            </w:pPr>
            <w:r w:rsidRPr="00157EB2">
              <w:rPr>
                <w:sz w:val="24"/>
                <w:szCs w:val="24"/>
              </w:rPr>
              <w:t xml:space="preserve">Mackie, M. (1987). </w:t>
            </w:r>
            <w:r w:rsidRPr="00157EB2">
              <w:rPr>
                <w:i/>
                <w:iCs/>
                <w:sz w:val="24"/>
                <w:szCs w:val="24"/>
              </w:rPr>
              <w:t>Constructing women and men: Gender socialization</w:t>
            </w:r>
            <w:r w:rsidRPr="00157EB2">
              <w:rPr>
                <w:sz w:val="24"/>
                <w:szCs w:val="24"/>
              </w:rPr>
              <w:t>. Holt, Rinehart and Winston of Canada.</w:t>
            </w:r>
          </w:p>
          <w:p w:rsidR="00620E91" w:rsidRPr="00157EB2" w:rsidRDefault="00620E91" w:rsidP="00A45342">
            <w:pPr>
              <w:autoSpaceDE w:val="0"/>
              <w:autoSpaceDN w:val="0"/>
              <w:adjustRightInd w:val="0"/>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lastRenderedPageBreak/>
              <w:t>3</w:t>
            </w:r>
          </w:p>
        </w:tc>
        <w:tc>
          <w:tcPr>
            <w:tcW w:w="8785" w:type="dxa"/>
          </w:tcPr>
          <w:p w:rsidR="00620E91" w:rsidRPr="00157EB2" w:rsidRDefault="00620E91" w:rsidP="00A45342">
            <w:pPr>
              <w:rPr>
                <w:b/>
                <w:sz w:val="24"/>
                <w:szCs w:val="24"/>
                <w:u w:val="single"/>
              </w:rPr>
            </w:pPr>
            <w:r w:rsidRPr="00157EB2">
              <w:rPr>
                <w:b/>
                <w:sz w:val="24"/>
                <w:szCs w:val="24"/>
                <w:u w:val="single"/>
              </w:rPr>
              <w:t>Gender and Interaction</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13</w:t>
            </w:r>
          </w:p>
          <w:p w:rsidR="00620E91" w:rsidRPr="00157EB2" w:rsidRDefault="00620E91" w:rsidP="00A45342">
            <w:pPr>
              <w:autoSpaceDE w:val="0"/>
              <w:autoSpaceDN w:val="0"/>
              <w:adjustRightInd w:val="0"/>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b/>
                <w:sz w:val="24"/>
                <w:szCs w:val="24"/>
              </w:rPr>
              <w:t>Recommended</w:t>
            </w:r>
            <w:r w:rsidRPr="00157EB2">
              <w:rPr>
                <w:rFonts w:cs="Berkeley-BoldItalic"/>
                <w:b/>
                <w:bCs/>
                <w:iCs/>
                <w:sz w:val="24"/>
                <w:szCs w:val="24"/>
              </w:rPr>
              <w:t xml:space="preserve"> Reading:</w:t>
            </w: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Johnson, C., Clay-Warner, J., &amp; Funk, S. J. (1996). Effects of authority structures and gender on interaction in same-sex task groups. </w:t>
            </w:r>
            <w:r w:rsidRPr="00157EB2">
              <w:rPr>
                <w:rFonts w:eastAsia="Times New Roman" w:cs="Times New Roman"/>
                <w:i/>
                <w:iCs/>
                <w:sz w:val="24"/>
                <w:szCs w:val="24"/>
              </w:rPr>
              <w:t>Social Psychology Quarterly</w:t>
            </w:r>
            <w:r w:rsidRPr="00157EB2">
              <w:rPr>
                <w:rFonts w:eastAsia="Times New Roman" w:cs="Times New Roman"/>
                <w:sz w:val="24"/>
                <w:szCs w:val="24"/>
              </w:rPr>
              <w:t>, 221-236.</w:t>
            </w:r>
          </w:p>
          <w:p w:rsidR="00620E91" w:rsidRPr="00157EB2" w:rsidRDefault="00620E91" w:rsidP="00A45342">
            <w:pPr>
              <w:autoSpaceDE w:val="0"/>
              <w:autoSpaceDN w:val="0"/>
              <w:adjustRightInd w:val="0"/>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4</w:t>
            </w:r>
          </w:p>
        </w:tc>
        <w:tc>
          <w:tcPr>
            <w:tcW w:w="8785" w:type="dxa"/>
          </w:tcPr>
          <w:p w:rsidR="00620E91" w:rsidRPr="00157EB2" w:rsidRDefault="00620E91" w:rsidP="00A45342">
            <w:pPr>
              <w:rPr>
                <w:b/>
                <w:sz w:val="24"/>
                <w:szCs w:val="24"/>
                <w:u w:val="single"/>
              </w:rPr>
            </w:pPr>
            <w:r w:rsidRPr="00157EB2">
              <w:rPr>
                <w:b/>
                <w:sz w:val="24"/>
                <w:szCs w:val="24"/>
                <w:u w:val="single"/>
              </w:rPr>
              <w:t>Comparative Gender Stratification</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4</w:t>
            </w: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sz w:val="24"/>
                <w:szCs w:val="24"/>
              </w:rPr>
            </w:pPr>
            <w:r w:rsidRPr="00157EB2">
              <w:rPr>
                <w:sz w:val="24"/>
                <w:szCs w:val="24"/>
              </w:rPr>
              <w:t xml:space="preserve">Brinton, M. C. (1988). The social-institutional bases of gender stratification: Japan as an illustrative case. </w:t>
            </w:r>
            <w:r w:rsidRPr="00157EB2">
              <w:rPr>
                <w:i/>
                <w:iCs/>
                <w:sz w:val="24"/>
                <w:szCs w:val="24"/>
              </w:rPr>
              <w:t>American journal of sociology</w:t>
            </w:r>
            <w:r w:rsidRPr="00157EB2">
              <w:rPr>
                <w:sz w:val="24"/>
                <w:szCs w:val="24"/>
              </w:rPr>
              <w:t>, 300-334.</w:t>
            </w:r>
          </w:p>
          <w:p w:rsidR="00620E91" w:rsidRPr="00157EB2" w:rsidRDefault="00620E91" w:rsidP="00A45342">
            <w:pPr>
              <w:rPr>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lastRenderedPageBreak/>
              <w:t>Blumberg, R. L. (1984). A general theory of gender stratification.</w:t>
            </w:r>
          </w:p>
          <w:p w:rsidR="00620E91" w:rsidRPr="00157EB2" w:rsidRDefault="00620E91" w:rsidP="00A45342">
            <w:pPr>
              <w:rPr>
                <w:rFonts w:eastAsia="Times New Roman" w:cs="Times New Roman"/>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Benson, D. J., &amp; Thomson, G. E. (1982). Sexual harassment on a university campus: The confluence of authority relations, sexual interest and gender stratification. </w:t>
            </w:r>
            <w:r w:rsidRPr="00157EB2">
              <w:rPr>
                <w:rFonts w:eastAsia="Times New Roman" w:cs="Times New Roman"/>
                <w:i/>
                <w:iCs/>
                <w:sz w:val="24"/>
                <w:szCs w:val="24"/>
              </w:rPr>
              <w:t>Social problems</w:t>
            </w:r>
            <w:r w:rsidRPr="00157EB2">
              <w:rPr>
                <w:rFonts w:eastAsia="Times New Roman" w:cs="Times New Roman"/>
                <w:sz w:val="24"/>
                <w:szCs w:val="24"/>
              </w:rPr>
              <w:t>, 236-251.</w:t>
            </w: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lastRenderedPageBreak/>
              <w:t>5</w:t>
            </w:r>
          </w:p>
        </w:tc>
        <w:tc>
          <w:tcPr>
            <w:tcW w:w="8785" w:type="dxa"/>
          </w:tcPr>
          <w:p w:rsidR="00620E91" w:rsidRPr="00157EB2" w:rsidRDefault="00620E91" w:rsidP="00A45342">
            <w:pPr>
              <w:rPr>
                <w:b/>
                <w:sz w:val="24"/>
                <w:szCs w:val="24"/>
                <w:u w:val="single"/>
              </w:rPr>
            </w:pPr>
            <w:r w:rsidRPr="00157EB2">
              <w:rPr>
                <w:b/>
                <w:sz w:val="24"/>
                <w:szCs w:val="24"/>
                <w:u w:val="single"/>
              </w:rPr>
              <w:t>Gender Movements</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8</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sz w:val="24"/>
                <w:szCs w:val="24"/>
              </w:rPr>
            </w:pPr>
            <w:proofErr w:type="spellStart"/>
            <w:r w:rsidRPr="00157EB2">
              <w:rPr>
                <w:sz w:val="24"/>
                <w:szCs w:val="24"/>
              </w:rPr>
              <w:t>Gamson</w:t>
            </w:r>
            <w:proofErr w:type="spellEnd"/>
            <w:r w:rsidRPr="00157EB2">
              <w:rPr>
                <w:sz w:val="24"/>
                <w:szCs w:val="24"/>
              </w:rPr>
              <w:t xml:space="preserve">, J. (1997). MESSAGES OF EXCLUSION Gender, Movements, and Symbolic Boundaries. </w:t>
            </w:r>
            <w:r w:rsidRPr="00157EB2">
              <w:rPr>
                <w:i/>
                <w:iCs/>
                <w:sz w:val="24"/>
                <w:szCs w:val="24"/>
              </w:rPr>
              <w:t>Gender &amp; Society</w:t>
            </w:r>
            <w:r w:rsidRPr="00157EB2">
              <w:rPr>
                <w:sz w:val="24"/>
                <w:szCs w:val="24"/>
              </w:rPr>
              <w:t xml:space="preserve">, </w:t>
            </w:r>
            <w:r w:rsidRPr="00157EB2">
              <w:rPr>
                <w:i/>
                <w:iCs/>
                <w:sz w:val="24"/>
                <w:szCs w:val="24"/>
              </w:rPr>
              <w:t>11</w:t>
            </w:r>
            <w:r w:rsidRPr="00157EB2">
              <w:rPr>
                <w:sz w:val="24"/>
                <w:szCs w:val="24"/>
              </w:rPr>
              <w:t>(2), 178-199</w:t>
            </w:r>
          </w:p>
          <w:p w:rsidR="00620E91" w:rsidRPr="00157EB2" w:rsidRDefault="00620E91" w:rsidP="00A45342">
            <w:pPr>
              <w:rPr>
                <w:sz w:val="24"/>
                <w:szCs w:val="24"/>
              </w:rPr>
            </w:pPr>
          </w:p>
          <w:p w:rsidR="00620E91" w:rsidRPr="00157EB2" w:rsidRDefault="00620E91" w:rsidP="00A45342">
            <w:pPr>
              <w:rPr>
                <w:sz w:val="24"/>
                <w:szCs w:val="24"/>
              </w:rPr>
            </w:pPr>
            <w:proofErr w:type="spellStart"/>
            <w:r w:rsidRPr="00157EB2">
              <w:rPr>
                <w:sz w:val="24"/>
                <w:szCs w:val="24"/>
              </w:rPr>
              <w:t>Pelak</w:t>
            </w:r>
            <w:proofErr w:type="spellEnd"/>
            <w:r w:rsidRPr="00157EB2">
              <w:rPr>
                <w:sz w:val="24"/>
                <w:szCs w:val="24"/>
              </w:rPr>
              <w:t xml:space="preserve">, C. F., Taylor, V., &amp; Whittier, N. (2006). Gender movements. In </w:t>
            </w:r>
            <w:r w:rsidRPr="00157EB2">
              <w:rPr>
                <w:i/>
                <w:iCs/>
                <w:sz w:val="24"/>
                <w:szCs w:val="24"/>
              </w:rPr>
              <w:t>Handbook of the Sociology of Gender</w:t>
            </w:r>
            <w:r w:rsidRPr="00157EB2">
              <w:rPr>
                <w:sz w:val="24"/>
                <w:szCs w:val="24"/>
              </w:rPr>
              <w:t xml:space="preserve"> (pp. 147-175). Springer US</w:t>
            </w:r>
          </w:p>
          <w:p w:rsidR="00620E91" w:rsidRPr="00157EB2" w:rsidRDefault="00620E91" w:rsidP="00A45342">
            <w:pPr>
              <w:rPr>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Taylor, V. (1999). GENDER AND SOCIAL MOVEMENTS Gender Processes in Women's Self-Help Movements. </w:t>
            </w:r>
            <w:r w:rsidRPr="00157EB2">
              <w:rPr>
                <w:rFonts w:eastAsia="Times New Roman" w:cs="Times New Roman"/>
                <w:i/>
                <w:iCs/>
                <w:sz w:val="24"/>
                <w:szCs w:val="24"/>
              </w:rPr>
              <w:t>Gender &amp; Society</w:t>
            </w:r>
            <w:r w:rsidRPr="00157EB2">
              <w:rPr>
                <w:rFonts w:eastAsia="Times New Roman" w:cs="Times New Roman"/>
                <w:sz w:val="24"/>
                <w:szCs w:val="24"/>
              </w:rPr>
              <w:t xml:space="preserve">, </w:t>
            </w:r>
            <w:r w:rsidRPr="00157EB2">
              <w:rPr>
                <w:rFonts w:eastAsia="Times New Roman" w:cs="Times New Roman"/>
                <w:i/>
                <w:iCs/>
                <w:sz w:val="24"/>
                <w:szCs w:val="24"/>
              </w:rPr>
              <w:t>13</w:t>
            </w:r>
            <w:r w:rsidRPr="00157EB2">
              <w:rPr>
                <w:rFonts w:eastAsia="Times New Roman" w:cs="Times New Roman"/>
                <w:sz w:val="24"/>
                <w:szCs w:val="24"/>
              </w:rPr>
              <w:t>(1), 8-33.</w:t>
            </w:r>
          </w:p>
          <w:p w:rsidR="00620E91" w:rsidRPr="00157EB2" w:rsidRDefault="00620E91" w:rsidP="00A45342">
            <w:pPr>
              <w:rPr>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Kuumba</w:t>
            </w:r>
            <w:proofErr w:type="spellEnd"/>
            <w:r w:rsidRPr="00157EB2">
              <w:rPr>
                <w:rFonts w:eastAsia="Times New Roman" w:cs="Times New Roman"/>
                <w:sz w:val="24"/>
                <w:szCs w:val="24"/>
              </w:rPr>
              <w:t xml:space="preserve">, B. M. (2001). </w:t>
            </w:r>
            <w:r w:rsidRPr="00157EB2">
              <w:rPr>
                <w:rFonts w:eastAsia="Times New Roman" w:cs="Times New Roman"/>
                <w:i/>
                <w:iCs/>
                <w:sz w:val="24"/>
                <w:szCs w:val="24"/>
              </w:rPr>
              <w:t>Gender and social movements</w:t>
            </w:r>
            <w:r w:rsidRPr="00157EB2">
              <w:rPr>
                <w:rFonts w:eastAsia="Times New Roman" w:cs="Times New Roman"/>
                <w:sz w:val="24"/>
                <w:szCs w:val="24"/>
              </w:rPr>
              <w:t xml:space="preserve">. </w:t>
            </w:r>
            <w:proofErr w:type="spellStart"/>
            <w:r w:rsidRPr="00157EB2">
              <w:rPr>
                <w:rFonts w:eastAsia="Times New Roman" w:cs="Times New Roman"/>
                <w:sz w:val="24"/>
                <w:szCs w:val="24"/>
              </w:rPr>
              <w:t>Rowman</w:t>
            </w:r>
            <w:proofErr w:type="spellEnd"/>
            <w:r w:rsidRPr="00157EB2">
              <w:rPr>
                <w:rFonts w:eastAsia="Times New Roman" w:cs="Times New Roman"/>
                <w:sz w:val="24"/>
                <w:szCs w:val="24"/>
              </w:rPr>
              <w:t xml:space="preserve"> Altamira.</w:t>
            </w: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6</w:t>
            </w:r>
          </w:p>
        </w:tc>
        <w:tc>
          <w:tcPr>
            <w:tcW w:w="8785" w:type="dxa"/>
          </w:tcPr>
          <w:p w:rsidR="00620E91" w:rsidRPr="00157EB2" w:rsidRDefault="00620E91" w:rsidP="00A45342">
            <w:pPr>
              <w:rPr>
                <w:b/>
                <w:sz w:val="24"/>
                <w:szCs w:val="24"/>
                <w:u w:val="single"/>
              </w:rPr>
            </w:pPr>
            <w:r w:rsidRPr="00157EB2">
              <w:rPr>
                <w:b/>
                <w:sz w:val="24"/>
                <w:szCs w:val="24"/>
                <w:u w:val="single"/>
              </w:rPr>
              <w:t>Gender and Family Relations</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lastRenderedPageBreak/>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18</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Zvonkovic</w:t>
            </w:r>
            <w:proofErr w:type="spellEnd"/>
            <w:r w:rsidRPr="00157EB2">
              <w:rPr>
                <w:rFonts w:eastAsia="Times New Roman" w:cs="Times New Roman"/>
                <w:sz w:val="24"/>
                <w:szCs w:val="24"/>
              </w:rPr>
              <w:t xml:space="preserve">, A. M., Greaves, K. M., </w:t>
            </w:r>
            <w:proofErr w:type="spellStart"/>
            <w:r w:rsidRPr="00157EB2">
              <w:rPr>
                <w:rFonts w:eastAsia="Times New Roman" w:cs="Times New Roman"/>
                <w:sz w:val="24"/>
                <w:szCs w:val="24"/>
              </w:rPr>
              <w:t>Schmiege</w:t>
            </w:r>
            <w:proofErr w:type="spellEnd"/>
            <w:r w:rsidRPr="00157EB2">
              <w:rPr>
                <w:rFonts w:eastAsia="Times New Roman" w:cs="Times New Roman"/>
                <w:sz w:val="24"/>
                <w:szCs w:val="24"/>
              </w:rPr>
              <w:t xml:space="preserve">, C. J., &amp; Hall, L. D. (1996). The marital construction of gender through work and family decisions: A qualitative analysis. </w:t>
            </w:r>
            <w:r w:rsidRPr="00157EB2">
              <w:rPr>
                <w:rFonts w:eastAsia="Times New Roman" w:cs="Times New Roman"/>
                <w:i/>
                <w:iCs/>
                <w:sz w:val="24"/>
                <w:szCs w:val="24"/>
              </w:rPr>
              <w:t>Journal of Marriage and the Family</w:t>
            </w:r>
            <w:r w:rsidRPr="00157EB2">
              <w:rPr>
                <w:rFonts w:eastAsia="Times New Roman" w:cs="Times New Roman"/>
                <w:sz w:val="24"/>
                <w:szCs w:val="24"/>
              </w:rPr>
              <w:t>, 91-100.</w:t>
            </w:r>
          </w:p>
          <w:p w:rsidR="00620E91" w:rsidRPr="00157EB2" w:rsidRDefault="00620E91" w:rsidP="00A45342">
            <w:pPr>
              <w:rPr>
                <w:rFonts w:eastAsia="Times New Roman" w:cs="Times New Roman"/>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Bielby</w:t>
            </w:r>
            <w:proofErr w:type="spellEnd"/>
            <w:r w:rsidRPr="00157EB2">
              <w:rPr>
                <w:rFonts w:eastAsia="Times New Roman" w:cs="Times New Roman"/>
                <w:sz w:val="24"/>
                <w:szCs w:val="24"/>
              </w:rPr>
              <w:t xml:space="preserve">, W. T., &amp; </w:t>
            </w:r>
            <w:proofErr w:type="spellStart"/>
            <w:r w:rsidRPr="00157EB2">
              <w:rPr>
                <w:rFonts w:eastAsia="Times New Roman" w:cs="Times New Roman"/>
                <w:sz w:val="24"/>
                <w:szCs w:val="24"/>
              </w:rPr>
              <w:t>Bielby</w:t>
            </w:r>
            <w:proofErr w:type="spellEnd"/>
            <w:r w:rsidRPr="00157EB2">
              <w:rPr>
                <w:rFonts w:eastAsia="Times New Roman" w:cs="Times New Roman"/>
                <w:sz w:val="24"/>
                <w:szCs w:val="24"/>
              </w:rPr>
              <w:t xml:space="preserve">, D. D. (1992). I will follow him: Family ties, gender-role beliefs, and reluctance to relocate for a better job. </w:t>
            </w:r>
            <w:r w:rsidRPr="00157EB2">
              <w:rPr>
                <w:rFonts w:eastAsia="Times New Roman" w:cs="Times New Roman"/>
                <w:i/>
                <w:iCs/>
                <w:sz w:val="24"/>
                <w:szCs w:val="24"/>
              </w:rPr>
              <w:t>American Journal of Sociology</w:t>
            </w:r>
            <w:r w:rsidRPr="00157EB2">
              <w:rPr>
                <w:rFonts w:eastAsia="Times New Roman" w:cs="Times New Roman"/>
                <w:sz w:val="24"/>
                <w:szCs w:val="24"/>
              </w:rPr>
              <w:t>, 1241-1267.</w:t>
            </w:r>
          </w:p>
          <w:p w:rsidR="00620E91" w:rsidRPr="00157EB2" w:rsidRDefault="00620E91" w:rsidP="00A45342">
            <w:pPr>
              <w:rPr>
                <w:rFonts w:eastAsia="Times New Roman" w:cs="Times New Roman"/>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Sjöberg</w:t>
            </w:r>
            <w:proofErr w:type="spellEnd"/>
            <w:r w:rsidRPr="00157EB2">
              <w:rPr>
                <w:rFonts w:eastAsia="Times New Roman" w:cs="Times New Roman"/>
                <w:sz w:val="24"/>
                <w:szCs w:val="24"/>
              </w:rPr>
              <w:t xml:space="preserve">, O. (2004). The role of family policy institutions in explaining gender-role attitudes: a comparative multilevel analysis of thirteen industrialized countries. </w:t>
            </w:r>
            <w:r w:rsidRPr="00157EB2">
              <w:rPr>
                <w:rFonts w:eastAsia="Times New Roman" w:cs="Times New Roman"/>
                <w:i/>
                <w:iCs/>
                <w:sz w:val="24"/>
                <w:szCs w:val="24"/>
              </w:rPr>
              <w:t>Journal of European social policy</w:t>
            </w:r>
            <w:r w:rsidRPr="00157EB2">
              <w:rPr>
                <w:rFonts w:eastAsia="Times New Roman" w:cs="Times New Roman"/>
                <w:sz w:val="24"/>
                <w:szCs w:val="24"/>
              </w:rPr>
              <w:t xml:space="preserve">, </w:t>
            </w:r>
            <w:r w:rsidRPr="00157EB2">
              <w:rPr>
                <w:rFonts w:eastAsia="Times New Roman" w:cs="Times New Roman"/>
                <w:i/>
                <w:iCs/>
                <w:sz w:val="24"/>
                <w:szCs w:val="24"/>
              </w:rPr>
              <w:t>14</w:t>
            </w:r>
            <w:r w:rsidRPr="00157EB2">
              <w:rPr>
                <w:rFonts w:eastAsia="Times New Roman" w:cs="Times New Roman"/>
                <w:sz w:val="24"/>
                <w:szCs w:val="24"/>
              </w:rPr>
              <w:t>(2), 107-123.</w:t>
            </w:r>
          </w:p>
          <w:p w:rsidR="00620E91" w:rsidRPr="00157EB2" w:rsidRDefault="00620E91" w:rsidP="00A45342">
            <w:pPr>
              <w:rPr>
                <w:sz w:val="24"/>
                <w:szCs w:val="24"/>
              </w:rPr>
            </w:pPr>
          </w:p>
        </w:tc>
      </w:tr>
      <w:tr w:rsidR="00620E91" w:rsidRPr="00157EB2" w:rsidTr="00A45342">
        <w:tc>
          <w:tcPr>
            <w:tcW w:w="791" w:type="dxa"/>
            <w:shd w:val="pct10" w:color="auto" w:fill="auto"/>
          </w:tcPr>
          <w:p w:rsidR="00620E91" w:rsidRPr="00157EB2" w:rsidRDefault="00620E91" w:rsidP="00A45342">
            <w:pPr>
              <w:rPr>
                <w:b/>
                <w:sz w:val="24"/>
                <w:szCs w:val="24"/>
              </w:rPr>
            </w:pPr>
            <w:r w:rsidRPr="00157EB2">
              <w:rPr>
                <w:b/>
                <w:sz w:val="24"/>
                <w:szCs w:val="24"/>
              </w:rPr>
              <w:lastRenderedPageBreak/>
              <w:t>7</w:t>
            </w:r>
          </w:p>
        </w:tc>
        <w:tc>
          <w:tcPr>
            <w:tcW w:w="8785" w:type="dxa"/>
            <w:shd w:val="pct10" w:color="auto" w:fill="auto"/>
          </w:tcPr>
          <w:p w:rsidR="00620E91" w:rsidRPr="00157EB2" w:rsidRDefault="00620E91" w:rsidP="00A45342">
            <w:pPr>
              <w:jc w:val="center"/>
              <w:rPr>
                <w:b/>
                <w:sz w:val="24"/>
                <w:szCs w:val="24"/>
              </w:rPr>
            </w:pPr>
            <w:r w:rsidRPr="00157EB2">
              <w:rPr>
                <w:b/>
                <w:sz w:val="24"/>
                <w:szCs w:val="24"/>
              </w:rPr>
              <w:t>Mid Term</w:t>
            </w:r>
          </w:p>
          <w:p w:rsidR="00620E91" w:rsidRPr="00157EB2" w:rsidRDefault="00620E91" w:rsidP="00A45342">
            <w:pPr>
              <w:jc w:val="center"/>
              <w:rPr>
                <w:b/>
                <w:sz w:val="24"/>
                <w:szCs w:val="24"/>
              </w:rPr>
            </w:pPr>
          </w:p>
          <w:p w:rsidR="00620E91" w:rsidRPr="00157EB2" w:rsidRDefault="00620E91" w:rsidP="00A45342">
            <w:pPr>
              <w:jc w:val="center"/>
              <w:rPr>
                <w:b/>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8</w:t>
            </w:r>
          </w:p>
        </w:tc>
        <w:tc>
          <w:tcPr>
            <w:tcW w:w="8785" w:type="dxa"/>
          </w:tcPr>
          <w:p w:rsidR="00620E91" w:rsidRPr="00157EB2" w:rsidRDefault="00620E91" w:rsidP="00A45342">
            <w:pPr>
              <w:rPr>
                <w:b/>
                <w:sz w:val="24"/>
                <w:szCs w:val="24"/>
                <w:u w:val="single"/>
              </w:rPr>
            </w:pPr>
            <w:r w:rsidRPr="00157EB2">
              <w:rPr>
                <w:b/>
                <w:sz w:val="24"/>
                <w:szCs w:val="24"/>
                <w:u w:val="single"/>
              </w:rPr>
              <w:t>Gender and Health Status</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Springer.</w:t>
            </w:r>
          </w:p>
          <w:p w:rsidR="00620E91" w:rsidRPr="00157EB2" w:rsidRDefault="00620E91" w:rsidP="00A45342">
            <w:pPr>
              <w:autoSpaceDE w:val="0"/>
              <w:autoSpaceDN w:val="0"/>
              <w:adjustRightInd w:val="0"/>
              <w:rPr>
                <w:sz w:val="24"/>
                <w:szCs w:val="24"/>
              </w:rPr>
            </w:pPr>
            <w:r w:rsidRPr="00157EB2">
              <w:rPr>
                <w:sz w:val="24"/>
                <w:szCs w:val="24"/>
              </w:rPr>
              <w:t>CH 21 &amp;22</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lastRenderedPageBreak/>
              <w:t xml:space="preserve">Courtenay, W. H. (2000). Constructions of masculinity and their influence on men's well-being: a theory of gender and health. </w:t>
            </w:r>
            <w:r w:rsidRPr="00157EB2">
              <w:rPr>
                <w:rFonts w:eastAsia="Times New Roman" w:cs="Times New Roman"/>
                <w:i/>
                <w:iCs/>
                <w:sz w:val="24"/>
                <w:szCs w:val="24"/>
              </w:rPr>
              <w:t>Social science &amp; medicine</w:t>
            </w:r>
            <w:r w:rsidRPr="00157EB2">
              <w:rPr>
                <w:rFonts w:eastAsia="Times New Roman" w:cs="Times New Roman"/>
                <w:sz w:val="24"/>
                <w:szCs w:val="24"/>
              </w:rPr>
              <w:t xml:space="preserve">, </w:t>
            </w:r>
            <w:r w:rsidRPr="00157EB2">
              <w:rPr>
                <w:rFonts w:eastAsia="Times New Roman" w:cs="Times New Roman"/>
                <w:i/>
                <w:iCs/>
                <w:sz w:val="24"/>
                <w:szCs w:val="24"/>
              </w:rPr>
              <w:t>50</w:t>
            </w:r>
            <w:r w:rsidRPr="00157EB2">
              <w:rPr>
                <w:rFonts w:eastAsia="Times New Roman" w:cs="Times New Roman"/>
                <w:sz w:val="24"/>
                <w:szCs w:val="24"/>
              </w:rPr>
              <w:t>(10), 1385-1401.</w:t>
            </w:r>
          </w:p>
          <w:p w:rsidR="00620E91" w:rsidRPr="00157EB2" w:rsidRDefault="00620E91" w:rsidP="00A45342">
            <w:pPr>
              <w:rPr>
                <w:rFonts w:eastAsia="Times New Roman" w:cs="Times New Roman"/>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Verbrugge</w:t>
            </w:r>
            <w:proofErr w:type="spellEnd"/>
            <w:r w:rsidRPr="00157EB2">
              <w:rPr>
                <w:rFonts w:eastAsia="Times New Roman" w:cs="Times New Roman"/>
                <w:sz w:val="24"/>
                <w:szCs w:val="24"/>
              </w:rPr>
              <w:t xml:space="preserve">, L. M. (1985). Gender and health: an update on hypotheses and evidence. </w:t>
            </w:r>
            <w:r w:rsidRPr="00157EB2">
              <w:rPr>
                <w:rFonts w:eastAsia="Times New Roman" w:cs="Times New Roman"/>
                <w:i/>
                <w:iCs/>
                <w:sz w:val="24"/>
                <w:szCs w:val="24"/>
              </w:rPr>
              <w:t>Journal of health and social behavior</w:t>
            </w:r>
            <w:r w:rsidRPr="00157EB2">
              <w:rPr>
                <w:rFonts w:eastAsia="Times New Roman" w:cs="Times New Roman"/>
                <w:sz w:val="24"/>
                <w:szCs w:val="24"/>
              </w:rPr>
              <w:t>, 156-182.</w:t>
            </w:r>
          </w:p>
          <w:p w:rsidR="00620E91" w:rsidRPr="00157EB2" w:rsidRDefault="00620E91" w:rsidP="00A45342">
            <w:pPr>
              <w:rPr>
                <w:rFonts w:eastAsia="Times New Roman" w:cs="Times New Roman"/>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Doyal</w:t>
            </w:r>
            <w:proofErr w:type="spellEnd"/>
            <w:r w:rsidRPr="00157EB2">
              <w:rPr>
                <w:rFonts w:eastAsia="Times New Roman" w:cs="Times New Roman"/>
                <w:sz w:val="24"/>
                <w:szCs w:val="24"/>
              </w:rPr>
              <w:t xml:space="preserve">, L. (2001). Sex, gender, and health: the need for a new approach. </w:t>
            </w:r>
            <w:proofErr w:type="spellStart"/>
            <w:r w:rsidRPr="00157EB2">
              <w:rPr>
                <w:rFonts w:eastAsia="Times New Roman" w:cs="Times New Roman"/>
                <w:i/>
                <w:iCs/>
                <w:sz w:val="24"/>
                <w:szCs w:val="24"/>
              </w:rPr>
              <w:t>Bmj</w:t>
            </w:r>
            <w:proofErr w:type="spellEnd"/>
            <w:r w:rsidRPr="00157EB2">
              <w:rPr>
                <w:rFonts w:eastAsia="Times New Roman" w:cs="Times New Roman"/>
                <w:sz w:val="24"/>
                <w:szCs w:val="24"/>
              </w:rPr>
              <w:t xml:space="preserve">, </w:t>
            </w:r>
            <w:r w:rsidRPr="00157EB2">
              <w:rPr>
                <w:rFonts w:eastAsia="Times New Roman" w:cs="Times New Roman"/>
                <w:i/>
                <w:iCs/>
                <w:sz w:val="24"/>
                <w:szCs w:val="24"/>
              </w:rPr>
              <w:t>323</w:t>
            </w:r>
            <w:r w:rsidRPr="00157EB2">
              <w:rPr>
                <w:rFonts w:eastAsia="Times New Roman" w:cs="Times New Roman"/>
                <w:sz w:val="24"/>
                <w:szCs w:val="24"/>
              </w:rPr>
              <w:t>(7320), 1061-1063.</w:t>
            </w: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lastRenderedPageBreak/>
              <w:t>9</w:t>
            </w:r>
          </w:p>
        </w:tc>
        <w:tc>
          <w:tcPr>
            <w:tcW w:w="8785" w:type="dxa"/>
          </w:tcPr>
          <w:p w:rsidR="00620E91" w:rsidRPr="00157EB2" w:rsidRDefault="00620E91" w:rsidP="00A45342">
            <w:pPr>
              <w:rPr>
                <w:b/>
                <w:sz w:val="24"/>
                <w:szCs w:val="24"/>
                <w:u w:val="single"/>
              </w:rPr>
            </w:pPr>
            <w:r w:rsidRPr="00157EB2">
              <w:rPr>
                <w:b/>
                <w:sz w:val="24"/>
                <w:szCs w:val="24"/>
                <w:u w:val="single"/>
              </w:rPr>
              <w:t>Gender and Politics</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sz w:val="24"/>
                <w:szCs w:val="24"/>
              </w:rPr>
            </w:pPr>
            <w:proofErr w:type="spellStart"/>
            <w:r w:rsidRPr="00157EB2">
              <w:rPr>
                <w:rFonts w:eastAsia="Times New Roman" w:cs="Times New Roman"/>
                <w:sz w:val="24"/>
                <w:szCs w:val="24"/>
              </w:rPr>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xml:space="preserve">. Springer. </w:t>
            </w:r>
            <w:r w:rsidRPr="00157EB2">
              <w:rPr>
                <w:sz w:val="24"/>
                <w:szCs w:val="24"/>
              </w:rPr>
              <w:t>CH 23</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Lovenduski</w:t>
            </w:r>
            <w:proofErr w:type="spellEnd"/>
            <w:r w:rsidRPr="00157EB2">
              <w:rPr>
                <w:rFonts w:eastAsia="Times New Roman" w:cs="Times New Roman"/>
                <w:sz w:val="24"/>
                <w:szCs w:val="24"/>
              </w:rPr>
              <w:t xml:space="preserve">, J. (1992). Gender and Politics. </w:t>
            </w:r>
            <w:r w:rsidRPr="00157EB2">
              <w:rPr>
                <w:rFonts w:eastAsia="Times New Roman" w:cs="Times New Roman"/>
                <w:i/>
                <w:iCs/>
                <w:sz w:val="24"/>
                <w:szCs w:val="24"/>
              </w:rPr>
              <w:t>Encyclopedia of Government and Politics. London: Routledge</w:t>
            </w:r>
            <w:r w:rsidRPr="00157EB2">
              <w:rPr>
                <w:rFonts w:eastAsia="Times New Roman" w:cs="Times New Roman"/>
                <w:sz w:val="24"/>
                <w:szCs w:val="24"/>
              </w:rPr>
              <w:t>, 603-615.</w:t>
            </w:r>
          </w:p>
          <w:p w:rsidR="00620E91" w:rsidRPr="00157EB2" w:rsidRDefault="00620E91" w:rsidP="00A45342">
            <w:pPr>
              <w:pStyle w:val="Default"/>
              <w:rPr>
                <w:rFonts w:asciiTheme="minorHAnsi" w:hAnsiTheme="minorHAnsi"/>
                <w:b/>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Paxton, P., </w:t>
            </w:r>
            <w:proofErr w:type="spellStart"/>
            <w:r w:rsidRPr="00157EB2">
              <w:rPr>
                <w:rFonts w:eastAsia="Times New Roman" w:cs="Times New Roman"/>
                <w:sz w:val="24"/>
                <w:szCs w:val="24"/>
              </w:rPr>
              <w:t>Kunovich</w:t>
            </w:r>
            <w:proofErr w:type="spellEnd"/>
            <w:r w:rsidRPr="00157EB2">
              <w:rPr>
                <w:rFonts w:eastAsia="Times New Roman" w:cs="Times New Roman"/>
                <w:sz w:val="24"/>
                <w:szCs w:val="24"/>
              </w:rPr>
              <w:t xml:space="preserve">, S., &amp; Hughes, M. M. (2007). Gender in politics. </w:t>
            </w:r>
            <w:proofErr w:type="spellStart"/>
            <w:r w:rsidRPr="00157EB2">
              <w:rPr>
                <w:rFonts w:eastAsia="Times New Roman" w:cs="Times New Roman"/>
                <w:i/>
                <w:iCs/>
                <w:sz w:val="24"/>
                <w:szCs w:val="24"/>
              </w:rPr>
              <w:t>Annu</w:t>
            </w:r>
            <w:proofErr w:type="spellEnd"/>
            <w:r w:rsidRPr="00157EB2">
              <w:rPr>
                <w:rFonts w:eastAsia="Times New Roman" w:cs="Times New Roman"/>
                <w:i/>
                <w:iCs/>
                <w:sz w:val="24"/>
                <w:szCs w:val="24"/>
              </w:rPr>
              <w:t xml:space="preserve">. Rev. </w:t>
            </w:r>
            <w:proofErr w:type="spellStart"/>
            <w:r w:rsidRPr="00157EB2">
              <w:rPr>
                <w:rFonts w:eastAsia="Times New Roman" w:cs="Times New Roman"/>
                <w:i/>
                <w:iCs/>
                <w:sz w:val="24"/>
                <w:szCs w:val="24"/>
              </w:rPr>
              <w:t>Sociol</w:t>
            </w:r>
            <w:proofErr w:type="spellEnd"/>
            <w:r w:rsidRPr="00157EB2">
              <w:rPr>
                <w:rFonts w:eastAsia="Times New Roman" w:cs="Times New Roman"/>
                <w:i/>
                <w:iCs/>
                <w:sz w:val="24"/>
                <w:szCs w:val="24"/>
              </w:rPr>
              <w:t>.</w:t>
            </w:r>
            <w:r w:rsidRPr="00157EB2">
              <w:rPr>
                <w:rFonts w:eastAsia="Times New Roman" w:cs="Times New Roman"/>
                <w:sz w:val="24"/>
                <w:szCs w:val="24"/>
              </w:rPr>
              <w:t xml:space="preserve">, </w:t>
            </w:r>
            <w:r w:rsidRPr="00157EB2">
              <w:rPr>
                <w:rFonts w:eastAsia="Times New Roman" w:cs="Times New Roman"/>
                <w:i/>
                <w:iCs/>
                <w:sz w:val="24"/>
                <w:szCs w:val="24"/>
              </w:rPr>
              <w:t>33</w:t>
            </w:r>
            <w:r w:rsidRPr="00157EB2">
              <w:rPr>
                <w:rFonts w:eastAsia="Times New Roman" w:cs="Times New Roman"/>
                <w:sz w:val="24"/>
                <w:szCs w:val="24"/>
              </w:rPr>
              <w:t>, 263-284.</w:t>
            </w:r>
          </w:p>
          <w:p w:rsidR="00620E91" w:rsidRPr="00157EB2" w:rsidRDefault="00620E91" w:rsidP="00A45342">
            <w:pPr>
              <w:pStyle w:val="Default"/>
              <w:rPr>
                <w:rFonts w:asciiTheme="minorHAnsi" w:hAnsiTheme="minorHAnsi"/>
                <w:b/>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Bhabha</w:t>
            </w:r>
            <w:proofErr w:type="spellEnd"/>
            <w:r w:rsidRPr="00157EB2">
              <w:rPr>
                <w:rFonts w:eastAsia="Times New Roman" w:cs="Times New Roman"/>
                <w:sz w:val="24"/>
                <w:szCs w:val="24"/>
              </w:rPr>
              <w:t xml:space="preserve">, J. (1996). Embodied rights: gender persecution state sovereignty and refugees. </w:t>
            </w:r>
            <w:r w:rsidRPr="00157EB2">
              <w:rPr>
                <w:rFonts w:eastAsia="Times New Roman" w:cs="Times New Roman"/>
                <w:i/>
                <w:iCs/>
                <w:sz w:val="24"/>
                <w:szCs w:val="24"/>
              </w:rPr>
              <w:t>Public Culture</w:t>
            </w:r>
            <w:r w:rsidRPr="00157EB2">
              <w:rPr>
                <w:rFonts w:eastAsia="Times New Roman" w:cs="Times New Roman"/>
                <w:sz w:val="24"/>
                <w:szCs w:val="24"/>
              </w:rPr>
              <w:t xml:space="preserve">, </w:t>
            </w:r>
            <w:r w:rsidRPr="00157EB2">
              <w:rPr>
                <w:rFonts w:eastAsia="Times New Roman" w:cs="Times New Roman"/>
                <w:i/>
                <w:iCs/>
                <w:sz w:val="24"/>
                <w:szCs w:val="24"/>
              </w:rPr>
              <w:t>9</w:t>
            </w:r>
            <w:r w:rsidRPr="00157EB2">
              <w:rPr>
                <w:rFonts w:eastAsia="Times New Roman" w:cs="Times New Roman"/>
                <w:sz w:val="24"/>
                <w:szCs w:val="24"/>
              </w:rPr>
              <w:t>(1), 3-32.</w:t>
            </w:r>
          </w:p>
          <w:p w:rsidR="00620E91" w:rsidRPr="00157EB2" w:rsidRDefault="00620E91" w:rsidP="00A45342">
            <w:pPr>
              <w:rPr>
                <w:rFonts w:eastAsia="Times New Roman" w:cs="Times New Roman"/>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10</w:t>
            </w:r>
          </w:p>
        </w:tc>
        <w:tc>
          <w:tcPr>
            <w:tcW w:w="8785" w:type="dxa"/>
          </w:tcPr>
          <w:p w:rsidR="00620E91" w:rsidRPr="00157EB2" w:rsidRDefault="00620E91" w:rsidP="00A45342">
            <w:pPr>
              <w:rPr>
                <w:b/>
                <w:sz w:val="24"/>
                <w:szCs w:val="24"/>
                <w:u w:val="single"/>
              </w:rPr>
            </w:pPr>
            <w:r w:rsidRPr="00157EB2">
              <w:rPr>
                <w:b/>
                <w:sz w:val="24"/>
                <w:szCs w:val="24"/>
                <w:u w:val="single"/>
              </w:rPr>
              <w:t xml:space="preserve">Gender and Religion </w:t>
            </w:r>
          </w:p>
          <w:p w:rsidR="00620E91" w:rsidRPr="00157EB2" w:rsidRDefault="00620E91" w:rsidP="00A45342">
            <w:pPr>
              <w:rPr>
                <w:b/>
                <w:sz w:val="24"/>
                <w:szCs w:val="24"/>
                <w:u w:val="single"/>
              </w:rPr>
            </w:pPr>
          </w:p>
          <w:p w:rsidR="00620E91" w:rsidRPr="00157EB2" w:rsidRDefault="00620E91" w:rsidP="00A45342">
            <w:pPr>
              <w:rPr>
                <w:b/>
                <w:sz w:val="24"/>
                <w:szCs w:val="24"/>
              </w:rPr>
            </w:pPr>
            <w:r w:rsidRPr="00157EB2">
              <w:rPr>
                <w:b/>
                <w:sz w:val="24"/>
                <w:szCs w:val="24"/>
              </w:rPr>
              <w:t>Required Reading:</w:t>
            </w:r>
          </w:p>
          <w:p w:rsidR="00620E91" w:rsidRPr="00157EB2" w:rsidRDefault="00620E91" w:rsidP="00A45342">
            <w:pPr>
              <w:rPr>
                <w:sz w:val="24"/>
                <w:szCs w:val="24"/>
              </w:rPr>
            </w:pPr>
            <w:proofErr w:type="spellStart"/>
            <w:r w:rsidRPr="00157EB2">
              <w:rPr>
                <w:rFonts w:eastAsia="Times New Roman" w:cs="Times New Roman"/>
                <w:sz w:val="24"/>
                <w:szCs w:val="24"/>
              </w:rPr>
              <w:lastRenderedPageBreak/>
              <w:t>Chafetz</w:t>
            </w:r>
            <w:proofErr w:type="spellEnd"/>
            <w:r w:rsidRPr="00157EB2">
              <w:rPr>
                <w:rFonts w:eastAsia="Times New Roman" w:cs="Times New Roman"/>
                <w:sz w:val="24"/>
                <w:szCs w:val="24"/>
              </w:rPr>
              <w:t xml:space="preserve">, J. S. (2006). </w:t>
            </w:r>
            <w:r w:rsidRPr="00157EB2">
              <w:rPr>
                <w:rFonts w:eastAsia="Times New Roman" w:cs="Times New Roman"/>
                <w:i/>
                <w:iCs/>
                <w:sz w:val="24"/>
                <w:szCs w:val="24"/>
              </w:rPr>
              <w:t>Handbook of the Sociology of Gender</w:t>
            </w:r>
            <w:r w:rsidRPr="00157EB2">
              <w:rPr>
                <w:rFonts w:eastAsia="Times New Roman" w:cs="Times New Roman"/>
                <w:sz w:val="24"/>
                <w:szCs w:val="24"/>
              </w:rPr>
              <w:t xml:space="preserve">. Springer. </w:t>
            </w:r>
            <w:r w:rsidRPr="00157EB2">
              <w:rPr>
                <w:sz w:val="24"/>
                <w:szCs w:val="24"/>
              </w:rPr>
              <w:t>CH 27</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Lummis, A. T. (2006). Gender and religion. In </w:t>
            </w:r>
            <w:r w:rsidRPr="00157EB2">
              <w:rPr>
                <w:rFonts w:eastAsia="Times New Roman" w:cs="Times New Roman"/>
                <w:i/>
                <w:iCs/>
                <w:sz w:val="24"/>
                <w:szCs w:val="24"/>
              </w:rPr>
              <w:t>Handbook of the Sociology of Gender</w:t>
            </w:r>
            <w:r w:rsidRPr="00157EB2">
              <w:rPr>
                <w:rFonts w:eastAsia="Times New Roman" w:cs="Times New Roman"/>
                <w:sz w:val="24"/>
                <w:szCs w:val="24"/>
              </w:rPr>
              <w:t xml:space="preserve"> (pp. 601-618). Springer US.</w:t>
            </w:r>
          </w:p>
          <w:p w:rsidR="00620E91" w:rsidRPr="00157EB2" w:rsidRDefault="00620E91" w:rsidP="00A45342">
            <w:pPr>
              <w:rPr>
                <w:b/>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Mattila</w:t>
            </w:r>
            <w:proofErr w:type="spellEnd"/>
            <w:r w:rsidRPr="00157EB2">
              <w:rPr>
                <w:rFonts w:eastAsia="Times New Roman" w:cs="Times New Roman"/>
                <w:sz w:val="24"/>
                <w:szCs w:val="24"/>
              </w:rPr>
              <w:t xml:space="preserve">, A. S., </w:t>
            </w:r>
            <w:proofErr w:type="spellStart"/>
            <w:r w:rsidRPr="00157EB2">
              <w:rPr>
                <w:rFonts w:eastAsia="Times New Roman" w:cs="Times New Roman"/>
                <w:sz w:val="24"/>
                <w:szCs w:val="24"/>
              </w:rPr>
              <w:t>Apostolopoulos</w:t>
            </w:r>
            <w:proofErr w:type="spellEnd"/>
            <w:r w:rsidRPr="00157EB2">
              <w:rPr>
                <w:rFonts w:eastAsia="Times New Roman" w:cs="Times New Roman"/>
                <w:sz w:val="24"/>
                <w:szCs w:val="24"/>
              </w:rPr>
              <w:t xml:space="preserve">, Y., </w:t>
            </w:r>
            <w:proofErr w:type="spellStart"/>
            <w:r w:rsidRPr="00157EB2">
              <w:rPr>
                <w:rFonts w:eastAsia="Times New Roman" w:cs="Times New Roman"/>
                <w:sz w:val="24"/>
                <w:szCs w:val="24"/>
              </w:rPr>
              <w:t>Sonmez</w:t>
            </w:r>
            <w:proofErr w:type="spellEnd"/>
            <w:r w:rsidRPr="00157EB2">
              <w:rPr>
                <w:rFonts w:eastAsia="Times New Roman" w:cs="Times New Roman"/>
                <w:sz w:val="24"/>
                <w:szCs w:val="24"/>
              </w:rPr>
              <w:t xml:space="preserve">, S., Yu, L., &amp; </w:t>
            </w:r>
            <w:proofErr w:type="spellStart"/>
            <w:r w:rsidRPr="00157EB2">
              <w:rPr>
                <w:rFonts w:eastAsia="Times New Roman" w:cs="Times New Roman"/>
                <w:sz w:val="24"/>
                <w:szCs w:val="24"/>
              </w:rPr>
              <w:t>Sasidharan</w:t>
            </w:r>
            <w:proofErr w:type="spellEnd"/>
            <w:r w:rsidRPr="00157EB2">
              <w:rPr>
                <w:rFonts w:eastAsia="Times New Roman" w:cs="Times New Roman"/>
                <w:sz w:val="24"/>
                <w:szCs w:val="24"/>
              </w:rPr>
              <w:t xml:space="preserve">, V. (2001). The impact of gender and religion on college students’ spring break behavior. </w:t>
            </w:r>
            <w:r w:rsidRPr="00157EB2">
              <w:rPr>
                <w:rFonts w:eastAsia="Times New Roman" w:cs="Times New Roman"/>
                <w:i/>
                <w:iCs/>
                <w:sz w:val="24"/>
                <w:szCs w:val="24"/>
              </w:rPr>
              <w:t>Journal of Travel Research</w:t>
            </w:r>
            <w:r w:rsidRPr="00157EB2">
              <w:rPr>
                <w:rFonts w:eastAsia="Times New Roman" w:cs="Times New Roman"/>
                <w:sz w:val="24"/>
                <w:szCs w:val="24"/>
              </w:rPr>
              <w:t xml:space="preserve">, </w:t>
            </w:r>
            <w:r w:rsidRPr="00157EB2">
              <w:rPr>
                <w:rFonts w:eastAsia="Times New Roman" w:cs="Times New Roman"/>
                <w:i/>
                <w:iCs/>
                <w:sz w:val="24"/>
                <w:szCs w:val="24"/>
              </w:rPr>
              <w:t>40</w:t>
            </w:r>
            <w:r w:rsidRPr="00157EB2">
              <w:rPr>
                <w:rFonts w:eastAsia="Times New Roman" w:cs="Times New Roman"/>
                <w:sz w:val="24"/>
                <w:szCs w:val="24"/>
              </w:rPr>
              <w:t>(2), 193-200.</w:t>
            </w:r>
          </w:p>
          <w:p w:rsidR="00620E91" w:rsidRPr="00157EB2" w:rsidRDefault="00620E91" w:rsidP="00A45342">
            <w:pPr>
              <w:rPr>
                <w:b/>
                <w:sz w:val="24"/>
                <w:szCs w:val="24"/>
              </w:rPr>
            </w:pP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Sullins</w:t>
            </w:r>
            <w:proofErr w:type="spellEnd"/>
            <w:r w:rsidRPr="00157EB2">
              <w:rPr>
                <w:rFonts w:eastAsia="Times New Roman" w:cs="Times New Roman"/>
                <w:sz w:val="24"/>
                <w:szCs w:val="24"/>
              </w:rPr>
              <w:t xml:space="preserve">, D. P. (2006). Gender and Religion: Deconstructing Universality, Constructing Complexity1. </w:t>
            </w:r>
            <w:r w:rsidRPr="00157EB2">
              <w:rPr>
                <w:rFonts w:eastAsia="Times New Roman" w:cs="Times New Roman"/>
                <w:i/>
                <w:iCs/>
                <w:sz w:val="24"/>
                <w:szCs w:val="24"/>
              </w:rPr>
              <w:t>American Journal of Sociology</w:t>
            </w:r>
            <w:r w:rsidRPr="00157EB2">
              <w:rPr>
                <w:rFonts w:eastAsia="Times New Roman" w:cs="Times New Roman"/>
                <w:sz w:val="24"/>
                <w:szCs w:val="24"/>
              </w:rPr>
              <w:t xml:space="preserve">, </w:t>
            </w:r>
            <w:r w:rsidRPr="00157EB2">
              <w:rPr>
                <w:rFonts w:eastAsia="Times New Roman" w:cs="Times New Roman"/>
                <w:i/>
                <w:iCs/>
                <w:sz w:val="24"/>
                <w:szCs w:val="24"/>
              </w:rPr>
              <w:t>112</w:t>
            </w:r>
            <w:r w:rsidRPr="00157EB2">
              <w:rPr>
                <w:rFonts w:eastAsia="Times New Roman" w:cs="Times New Roman"/>
                <w:sz w:val="24"/>
                <w:szCs w:val="24"/>
              </w:rPr>
              <w:t>(3), 838-880.</w:t>
            </w:r>
          </w:p>
          <w:p w:rsidR="00620E91" w:rsidRPr="00157EB2" w:rsidRDefault="00620E91" w:rsidP="00A45342">
            <w:pPr>
              <w:rPr>
                <w:b/>
                <w:sz w:val="24"/>
                <w:szCs w:val="24"/>
              </w:rPr>
            </w:pPr>
          </w:p>
          <w:p w:rsidR="00620E91" w:rsidRPr="00157EB2" w:rsidRDefault="00620E91" w:rsidP="00A45342">
            <w:pPr>
              <w:rPr>
                <w:b/>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lastRenderedPageBreak/>
              <w:t>11</w:t>
            </w:r>
          </w:p>
        </w:tc>
        <w:tc>
          <w:tcPr>
            <w:tcW w:w="8785" w:type="dxa"/>
          </w:tcPr>
          <w:p w:rsidR="00620E91" w:rsidRPr="00157EB2" w:rsidRDefault="00620E91" w:rsidP="00A45342">
            <w:pPr>
              <w:rPr>
                <w:b/>
                <w:sz w:val="24"/>
                <w:szCs w:val="24"/>
                <w:u w:val="single"/>
              </w:rPr>
            </w:pPr>
            <w:r w:rsidRPr="00157EB2">
              <w:rPr>
                <w:b/>
                <w:sz w:val="24"/>
                <w:szCs w:val="24"/>
                <w:u w:val="single"/>
              </w:rPr>
              <w:t>Gender and Media</w:t>
            </w:r>
          </w:p>
          <w:p w:rsidR="00620E91" w:rsidRPr="00157EB2" w:rsidRDefault="00620E91" w:rsidP="00A45342">
            <w:pPr>
              <w:rPr>
                <w:b/>
                <w:sz w:val="24"/>
                <w:szCs w:val="24"/>
                <w:u w:val="single"/>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r w:rsidRPr="00157EB2">
              <w:rPr>
                <w:sz w:val="24"/>
                <w:szCs w:val="24"/>
              </w:rPr>
              <w:t xml:space="preserve">Dickson, L. (2010). Thinking About Women: Sociological Perspectives on Sex and Gender, edited by Margaret L. Andersen and Dana </w:t>
            </w:r>
            <w:proofErr w:type="spellStart"/>
            <w:r w:rsidRPr="00157EB2">
              <w:rPr>
                <w:sz w:val="24"/>
                <w:szCs w:val="24"/>
              </w:rPr>
              <w:t>Hysock</w:t>
            </w:r>
            <w:proofErr w:type="spellEnd"/>
            <w:r w:rsidRPr="00157EB2">
              <w:rPr>
                <w:sz w:val="24"/>
                <w:szCs w:val="24"/>
              </w:rPr>
              <w:t>: (2008). Boston: Allyn &amp; Bacon, 412 pages</w:t>
            </w:r>
            <w:r w:rsidRPr="00157EB2">
              <w:rPr>
                <w:rFonts w:eastAsia="Times New Roman" w:cs="Times New Roman"/>
                <w:sz w:val="24"/>
                <w:szCs w:val="24"/>
              </w:rPr>
              <w:t>.</w:t>
            </w:r>
          </w:p>
          <w:p w:rsidR="00620E91" w:rsidRPr="00157EB2" w:rsidRDefault="00620E91" w:rsidP="00A45342">
            <w:pPr>
              <w:rPr>
                <w:sz w:val="24"/>
                <w:szCs w:val="24"/>
              </w:rPr>
            </w:pPr>
            <w:r w:rsidRPr="00157EB2">
              <w:rPr>
                <w:sz w:val="24"/>
                <w:szCs w:val="24"/>
              </w:rPr>
              <w:t>CH 3</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Okazaki, S., &amp; Hirose, M. (2009). Does gender affect media choice in travel information search? On the use of mobile Internet. </w:t>
            </w:r>
            <w:r w:rsidRPr="00157EB2">
              <w:rPr>
                <w:rFonts w:eastAsia="Times New Roman" w:cs="Times New Roman"/>
                <w:i/>
                <w:iCs/>
                <w:sz w:val="24"/>
                <w:szCs w:val="24"/>
              </w:rPr>
              <w:t>Tourism Management</w:t>
            </w:r>
            <w:r w:rsidRPr="00157EB2">
              <w:rPr>
                <w:rFonts w:eastAsia="Times New Roman" w:cs="Times New Roman"/>
                <w:sz w:val="24"/>
                <w:szCs w:val="24"/>
              </w:rPr>
              <w:t xml:space="preserve">, </w:t>
            </w:r>
            <w:r w:rsidRPr="00157EB2">
              <w:rPr>
                <w:rFonts w:eastAsia="Times New Roman" w:cs="Times New Roman"/>
                <w:i/>
                <w:iCs/>
                <w:sz w:val="24"/>
                <w:szCs w:val="24"/>
              </w:rPr>
              <w:t>30</w:t>
            </w:r>
            <w:r w:rsidRPr="00157EB2">
              <w:rPr>
                <w:rFonts w:eastAsia="Times New Roman" w:cs="Times New Roman"/>
                <w:sz w:val="24"/>
                <w:szCs w:val="24"/>
              </w:rPr>
              <w:t>(6), 794-804.</w:t>
            </w:r>
          </w:p>
          <w:p w:rsidR="00620E91" w:rsidRPr="00157EB2" w:rsidRDefault="00620E91" w:rsidP="00A45342">
            <w:pPr>
              <w:rPr>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lastRenderedPageBreak/>
              <w:t xml:space="preserve">Ward, L. M. (2003). Understanding the role of entertainment media in the sexual socialization of American youth: A review of empirical research. </w:t>
            </w:r>
            <w:r w:rsidRPr="00157EB2">
              <w:rPr>
                <w:rFonts w:eastAsia="Times New Roman" w:cs="Times New Roman"/>
                <w:i/>
                <w:iCs/>
                <w:sz w:val="24"/>
                <w:szCs w:val="24"/>
              </w:rPr>
              <w:t>Developmental Review</w:t>
            </w:r>
            <w:r w:rsidRPr="00157EB2">
              <w:rPr>
                <w:rFonts w:eastAsia="Times New Roman" w:cs="Times New Roman"/>
                <w:sz w:val="24"/>
                <w:szCs w:val="24"/>
              </w:rPr>
              <w:t xml:space="preserve">, </w:t>
            </w:r>
            <w:r w:rsidRPr="00157EB2">
              <w:rPr>
                <w:rFonts w:eastAsia="Times New Roman" w:cs="Times New Roman"/>
                <w:i/>
                <w:iCs/>
                <w:sz w:val="24"/>
                <w:szCs w:val="24"/>
              </w:rPr>
              <w:t>23</w:t>
            </w:r>
            <w:r w:rsidRPr="00157EB2">
              <w:rPr>
                <w:rFonts w:eastAsia="Times New Roman" w:cs="Times New Roman"/>
                <w:sz w:val="24"/>
                <w:szCs w:val="24"/>
              </w:rPr>
              <w:t>(3), 347-388.</w:t>
            </w:r>
          </w:p>
          <w:p w:rsidR="00620E91" w:rsidRPr="00157EB2" w:rsidRDefault="00620E91" w:rsidP="00A45342">
            <w:pPr>
              <w:rPr>
                <w:sz w:val="24"/>
                <w:szCs w:val="24"/>
              </w:rPr>
            </w:pP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t xml:space="preserve">Gill, R. (2007). </w:t>
            </w:r>
            <w:r w:rsidRPr="00157EB2">
              <w:rPr>
                <w:rFonts w:eastAsia="Times New Roman" w:cs="Times New Roman"/>
                <w:i/>
                <w:iCs/>
                <w:sz w:val="24"/>
                <w:szCs w:val="24"/>
              </w:rPr>
              <w:t>Gender and the Media</w:t>
            </w:r>
            <w:r w:rsidRPr="00157EB2">
              <w:rPr>
                <w:rFonts w:eastAsia="Times New Roman" w:cs="Times New Roman"/>
                <w:sz w:val="24"/>
                <w:szCs w:val="24"/>
              </w:rPr>
              <w:t>. Polity.</w:t>
            </w:r>
          </w:p>
          <w:p w:rsidR="00620E91" w:rsidRPr="00157EB2" w:rsidRDefault="00620E91" w:rsidP="00A45342">
            <w:pPr>
              <w:rPr>
                <w:sz w:val="24"/>
                <w:szCs w:val="24"/>
              </w:rPr>
            </w:pP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lastRenderedPageBreak/>
              <w:t xml:space="preserve">12 </w:t>
            </w:r>
          </w:p>
        </w:tc>
        <w:tc>
          <w:tcPr>
            <w:tcW w:w="8785" w:type="dxa"/>
          </w:tcPr>
          <w:p w:rsidR="00620E91" w:rsidRPr="00157EB2" w:rsidRDefault="00620E91" w:rsidP="00A45342">
            <w:pPr>
              <w:rPr>
                <w:b/>
                <w:sz w:val="24"/>
                <w:szCs w:val="24"/>
                <w:u w:val="single"/>
              </w:rPr>
            </w:pPr>
            <w:r w:rsidRPr="00157EB2">
              <w:rPr>
                <w:b/>
                <w:sz w:val="24"/>
                <w:szCs w:val="24"/>
                <w:u w:val="single"/>
              </w:rPr>
              <w:t xml:space="preserve">Gender and Globalization </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sz w:val="24"/>
                <w:szCs w:val="24"/>
              </w:rPr>
            </w:pPr>
            <w:r w:rsidRPr="00157EB2">
              <w:rPr>
                <w:sz w:val="24"/>
                <w:szCs w:val="24"/>
              </w:rPr>
              <w:t xml:space="preserve">Chow, E. N. L. (2003). Gender Matters Studying Globalization and Social Change in the 21st Century. </w:t>
            </w:r>
            <w:r w:rsidRPr="00157EB2">
              <w:rPr>
                <w:i/>
                <w:iCs/>
                <w:sz w:val="24"/>
                <w:szCs w:val="24"/>
              </w:rPr>
              <w:t>International Sociology</w:t>
            </w:r>
            <w:r w:rsidRPr="00157EB2">
              <w:rPr>
                <w:sz w:val="24"/>
                <w:szCs w:val="24"/>
              </w:rPr>
              <w:t xml:space="preserve">, </w:t>
            </w:r>
            <w:r w:rsidRPr="00157EB2">
              <w:rPr>
                <w:i/>
                <w:iCs/>
                <w:sz w:val="24"/>
                <w:szCs w:val="24"/>
              </w:rPr>
              <w:t>18</w:t>
            </w:r>
            <w:r w:rsidRPr="00157EB2">
              <w:rPr>
                <w:sz w:val="24"/>
                <w:szCs w:val="24"/>
              </w:rPr>
              <w:t>(3), 443-460.</w:t>
            </w:r>
          </w:p>
          <w:p w:rsidR="00620E91" w:rsidRPr="00157EB2" w:rsidRDefault="00620E91" w:rsidP="00A45342">
            <w:pPr>
              <w:rPr>
                <w:sz w:val="24"/>
                <w:szCs w:val="24"/>
              </w:rPr>
            </w:pPr>
            <w:hyperlink r:id="rId5" w:history="1">
              <w:r w:rsidRPr="00157EB2">
                <w:rPr>
                  <w:rStyle w:val="Hyperlink"/>
                  <w:sz w:val="24"/>
                  <w:szCs w:val="24"/>
                </w:rPr>
                <w:t>http://iss.sagepub.com/content/18/3/443.short</w:t>
              </w:r>
            </w:hyperlink>
          </w:p>
          <w:p w:rsidR="00620E91" w:rsidRPr="00157EB2" w:rsidRDefault="00620E91" w:rsidP="00A45342">
            <w:pPr>
              <w:rPr>
                <w:sz w:val="24"/>
                <w:szCs w:val="24"/>
              </w:rPr>
            </w:pP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 xml:space="preserve">Ahmed, </w:t>
            </w:r>
            <w:proofErr w:type="spellStart"/>
            <w:r w:rsidRPr="00157EB2">
              <w:rPr>
                <w:rFonts w:cs="Times New Roman"/>
                <w:sz w:val="24"/>
                <w:szCs w:val="24"/>
              </w:rPr>
              <w:t>Sharmeen</w:t>
            </w:r>
            <w:proofErr w:type="spellEnd"/>
            <w:r w:rsidRPr="00157EB2">
              <w:rPr>
                <w:rFonts w:cs="Times New Roman"/>
                <w:sz w:val="24"/>
                <w:szCs w:val="24"/>
              </w:rPr>
              <w:t xml:space="preserve"> and </w:t>
            </w:r>
            <w:proofErr w:type="spellStart"/>
            <w:r w:rsidRPr="00157EB2">
              <w:rPr>
                <w:rFonts w:cs="Times New Roman"/>
                <w:sz w:val="24"/>
                <w:szCs w:val="24"/>
              </w:rPr>
              <w:t>Khatun</w:t>
            </w:r>
            <w:proofErr w:type="spellEnd"/>
            <w:r w:rsidRPr="00157EB2">
              <w:rPr>
                <w:rFonts w:cs="Times New Roman"/>
                <w:sz w:val="24"/>
                <w:szCs w:val="24"/>
              </w:rPr>
              <w:t xml:space="preserve">. </w:t>
            </w:r>
            <w:proofErr w:type="spellStart"/>
            <w:r w:rsidRPr="00157EB2">
              <w:rPr>
                <w:rFonts w:cs="Times New Roman"/>
                <w:sz w:val="24"/>
                <w:szCs w:val="24"/>
              </w:rPr>
              <w:t>Mahmuda</w:t>
            </w:r>
            <w:proofErr w:type="spellEnd"/>
            <w:r w:rsidRPr="00157EB2">
              <w:rPr>
                <w:rFonts w:cs="Times New Roman"/>
                <w:sz w:val="24"/>
                <w:szCs w:val="24"/>
              </w:rPr>
              <w:t>. 2008. “Gender Relations in Postmodern</w:t>
            </w:r>
          </w:p>
          <w:p w:rsidR="00620E91" w:rsidRPr="00157EB2" w:rsidRDefault="00620E91" w:rsidP="00A45342">
            <w:pPr>
              <w:autoSpaceDE w:val="0"/>
              <w:autoSpaceDN w:val="0"/>
              <w:adjustRightInd w:val="0"/>
              <w:rPr>
                <w:rFonts w:cs="Times New Roman"/>
                <w:i/>
                <w:iCs/>
                <w:sz w:val="24"/>
                <w:szCs w:val="24"/>
              </w:rPr>
            </w:pPr>
            <w:r w:rsidRPr="00157EB2">
              <w:rPr>
                <w:rFonts w:cs="Times New Roman"/>
                <w:sz w:val="24"/>
                <w:szCs w:val="24"/>
              </w:rPr>
              <w:t xml:space="preserve">Societies: Impact of Globalization on Women’s Position.” </w:t>
            </w:r>
            <w:r w:rsidRPr="00157EB2">
              <w:rPr>
                <w:rFonts w:cs="Times New Roman"/>
                <w:i/>
                <w:iCs/>
                <w:sz w:val="24"/>
                <w:szCs w:val="24"/>
              </w:rPr>
              <w:t>Journal of Knowledge</w:t>
            </w:r>
          </w:p>
          <w:p w:rsidR="00620E91" w:rsidRPr="00157EB2" w:rsidRDefault="00620E91" w:rsidP="00A45342">
            <w:pPr>
              <w:autoSpaceDE w:val="0"/>
              <w:autoSpaceDN w:val="0"/>
              <w:adjustRightInd w:val="0"/>
              <w:rPr>
                <w:rFonts w:cs="Times New Roman"/>
                <w:sz w:val="24"/>
                <w:szCs w:val="24"/>
              </w:rPr>
            </w:pPr>
            <w:r w:rsidRPr="00157EB2">
              <w:rPr>
                <w:rFonts w:cs="Times New Roman"/>
                <w:i/>
                <w:iCs/>
                <w:sz w:val="24"/>
                <w:szCs w:val="24"/>
              </w:rPr>
              <w:t xml:space="preserve">Globalization. </w:t>
            </w:r>
            <w:r w:rsidRPr="00157EB2">
              <w:rPr>
                <w:rFonts w:cs="Times New Roman"/>
                <w:sz w:val="24"/>
                <w:szCs w:val="24"/>
              </w:rPr>
              <w:t>1(2), 109-125.</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Huang Ping. 2001. “Talking about Gender, Globalization, and Labor in a Chinese</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 xml:space="preserve">Context.” </w:t>
            </w:r>
            <w:r w:rsidRPr="00157EB2">
              <w:rPr>
                <w:rFonts w:cs="Times New Roman"/>
                <w:i/>
                <w:iCs/>
                <w:sz w:val="24"/>
                <w:szCs w:val="24"/>
              </w:rPr>
              <w:t xml:space="preserve">Signs. </w:t>
            </w:r>
            <w:r w:rsidRPr="00157EB2">
              <w:rPr>
                <w:rFonts w:cs="Times New Roman"/>
                <w:sz w:val="24"/>
                <w:szCs w:val="24"/>
              </w:rPr>
              <w:t>26(4), 1278-1281.</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Times New Roman"/>
                <w:sz w:val="24"/>
                <w:szCs w:val="24"/>
              </w:rPr>
            </w:pPr>
            <w:proofErr w:type="spellStart"/>
            <w:r w:rsidRPr="00157EB2">
              <w:rPr>
                <w:rFonts w:cs="Times New Roman"/>
                <w:sz w:val="24"/>
                <w:szCs w:val="24"/>
              </w:rPr>
              <w:t>Derne</w:t>
            </w:r>
            <w:proofErr w:type="spellEnd"/>
            <w:r w:rsidRPr="00157EB2">
              <w:rPr>
                <w:rFonts w:cs="Times New Roman"/>
                <w:sz w:val="24"/>
                <w:szCs w:val="24"/>
              </w:rPr>
              <w:t>, Steve. 2002. “Globalization and the Reconstitution of Local Gender.”</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 xml:space="preserve">Arrangements. </w:t>
            </w:r>
            <w:proofErr w:type="gramStart"/>
            <w:r w:rsidRPr="00157EB2">
              <w:rPr>
                <w:rFonts w:cs="Times New Roman"/>
                <w:sz w:val="24"/>
                <w:szCs w:val="24"/>
              </w:rPr>
              <w:t xml:space="preserve">“ </w:t>
            </w:r>
            <w:r w:rsidRPr="00157EB2">
              <w:rPr>
                <w:rFonts w:cs="Times New Roman"/>
                <w:i/>
                <w:iCs/>
                <w:sz w:val="24"/>
                <w:szCs w:val="24"/>
              </w:rPr>
              <w:t>Men</w:t>
            </w:r>
            <w:proofErr w:type="gramEnd"/>
            <w:r w:rsidRPr="00157EB2">
              <w:rPr>
                <w:rFonts w:cs="Times New Roman"/>
                <w:i/>
                <w:iCs/>
                <w:sz w:val="24"/>
                <w:szCs w:val="24"/>
              </w:rPr>
              <w:t xml:space="preserve"> and Masculinities. </w:t>
            </w:r>
            <w:r w:rsidRPr="00157EB2">
              <w:rPr>
                <w:rFonts w:cs="Times New Roman"/>
                <w:sz w:val="24"/>
                <w:szCs w:val="24"/>
              </w:rPr>
              <w:t>5(2), 144-164.</w:t>
            </w: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lastRenderedPageBreak/>
              <w:t>13</w:t>
            </w:r>
          </w:p>
        </w:tc>
        <w:tc>
          <w:tcPr>
            <w:tcW w:w="8785" w:type="dxa"/>
          </w:tcPr>
          <w:p w:rsidR="00620E91" w:rsidRPr="00157EB2" w:rsidRDefault="00620E91" w:rsidP="00A45342">
            <w:pPr>
              <w:rPr>
                <w:b/>
                <w:sz w:val="24"/>
                <w:szCs w:val="24"/>
                <w:u w:val="single"/>
              </w:rPr>
            </w:pPr>
            <w:r w:rsidRPr="00157EB2">
              <w:rPr>
                <w:b/>
                <w:sz w:val="24"/>
                <w:szCs w:val="24"/>
                <w:u w:val="single"/>
              </w:rPr>
              <w:t xml:space="preserve">Gender and Development </w:t>
            </w:r>
          </w:p>
          <w:p w:rsidR="00620E91" w:rsidRPr="00157EB2" w:rsidRDefault="00620E91" w:rsidP="00A45342">
            <w:pPr>
              <w:rPr>
                <w:b/>
                <w:sz w:val="24"/>
                <w:szCs w:val="24"/>
                <w:u w:val="single"/>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proofErr w:type="spellStart"/>
            <w:r w:rsidRPr="00157EB2">
              <w:rPr>
                <w:rFonts w:eastAsia="Times New Roman" w:cs="Times New Roman"/>
                <w:sz w:val="24"/>
                <w:szCs w:val="24"/>
              </w:rPr>
              <w:t>Momsen</w:t>
            </w:r>
            <w:proofErr w:type="spellEnd"/>
            <w:r w:rsidRPr="00157EB2">
              <w:rPr>
                <w:rFonts w:eastAsia="Times New Roman" w:cs="Times New Roman"/>
                <w:sz w:val="24"/>
                <w:szCs w:val="24"/>
              </w:rPr>
              <w:t xml:space="preserve">, J. H. (2004). </w:t>
            </w:r>
            <w:r w:rsidRPr="00157EB2">
              <w:rPr>
                <w:rFonts w:eastAsia="Times New Roman" w:cs="Times New Roman"/>
                <w:i/>
                <w:iCs/>
                <w:sz w:val="24"/>
                <w:szCs w:val="24"/>
              </w:rPr>
              <w:t>Gender and development</w:t>
            </w:r>
            <w:r w:rsidRPr="00157EB2">
              <w:rPr>
                <w:rFonts w:eastAsia="Times New Roman" w:cs="Times New Roman"/>
                <w:sz w:val="24"/>
                <w:szCs w:val="24"/>
              </w:rPr>
              <w:t>. Psychology Press.</w:t>
            </w:r>
          </w:p>
          <w:p w:rsidR="00620E91" w:rsidRPr="00157EB2" w:rsidRDefault="00620E91" w:rsidP="00A45342">
            <w:pPr>
              <w:rPr>
                <w:sz w:val="24"/>
                <w:szCs w:val="24"/>
              </w:rPr>
            </w:pPr>
            <w:r w:rsidRPr="00157EB2">
              <w:rPr>
                <w:sz w:val="24"/>
                <w:szCs w:val="24"/>
              </w:rPr>
              <w:t>CH 1</w:t>
            </w:r>
          </w:p>
          <w:p w:rsidR="00620E91" w:rsidRPr="00157EB2" w:rsidRDefault="00620E91" w:rsidP="00A45342">
            <w:pPr>
              <w:rPr>
                <w:sz w:val="24"/>
                <w:szCs w:val="24"/>
              </w:rPr>
            </w:pPr>
          </w:p>
          <w:p w:rsidR="00620E91" w:rsidRPr="00157EB2" w:rsidRDefault="00620E91" w:rsidP="00A45342">
            <w:pPr>
              <w:pStyle w:val="Default"/>
              <w:rPr>
                <w:rFonts w:asciiTheme="minorHAnsi" w:hAnsiTheme="minorHAnsi"/>
                <w:b/>
              </w:rPr>
            </w:pPr>
            <w:r w:rsidRPr="00157EB2">
              <w:rPr>
                <w:rFonts w:asciiTheme="minorHAnsi" w:hAnsiTheme="minorHAnsi"/>
                <w:b/>
              </w:rPr>
              <w:t>Recommended Readings:</w:t>
            </w:r>
          </w:p>
          <w:p w:rsidR="00620E91" w:rsidRPr="00157EB2" w:rsidRDefault="00620E91" w:rsidP="00A45342">
            <w:pPr>
              <w:autoSpaceDE w:val="0"/>
              <w:autoSpaceDN w:val="0"/>
              <w:adjustRightInd w:val="0"/>
              <w:rPr>
                <w:rFonts w:cs="Times New Roman"/>
                <w:sz w:val="24"/>
                <w:szCs w:val="24"/>
              </w:rPr>
            </w:pPr>
            <w:proofErr w:type="spellStart"/>
            <w:r w:rsidRPr="00157EB2">
              <w:rPr>
                <w:rFonts w:cs="Times New Roman"/>
                <w:sz w:val="24"/>
                <w:szCs w:val="24"/>
              </w:rPr>
              <w:t>Rai</w:t>
            </w:r>
            <w:proofErr w:type="spellEnd"/>
            <w:r w:rsidRPr="00157EB2">
              <w:rPr>
                <w:rFonts w:cs="Times New Roman"/>
                <w:sz w:val="24"/>
                <w:szCs w:val="24"/>
              </w:rPr>
              <w:t xml:space="preserve">, </w:t>
            </w:r>
            <w:proofErr w:type="spellStart"/>
            <w:r w:rsidRPr="00157EB2">
              <w:rPr>
                <w:rFonts w:cs="Times New Roman"/>
                <w:sz w:val="24"/>
                <w:szCs w:val="24"/>
              </w:rPr>
              <w:t>Shirin</w:t>
            </w:r>
            <w:proofErr w:type="spellEnd"/>
            <w:r w:rsidRPr="00157EB2">
              <w:rPr>
                <w:rFonts w:cs="Times New Roman"/>
                <w:sz w:val="24"/>
                <w:szCs w:val="24"/>
              </w:rPr>
              <w:t>. 2011. “The history of international development: concepts and contexts.” Pp.</w:t>
            </w:r>
          </w:p>
          <w:p w:rsidR="00620E91" w:rsidRPr="00157EB2" w:rsidRDefault="00620E91" w:rsidP="00A45342">
            <w:pPr>
              <w:autoSpaceDE w:val="0"/>
              <w:autoSpaceDN w:val="0"/>
              <w:adjustRightInd w:val="0"/>
              <w:rPr>
                <w:rFonts w:cs="Times New Roman"/>
                <w:i/>
                <w:iCs/>
                <w:sz w:val="24"/>
                <w:szCs w:val="24"/>
              </w:rPr>
            </w:pPr>
            <w:r w:rsidRPr="00157EB2">
              <w:rPr>
                <w:rFonts w:cs="Times New Roman"/>
                <w:sz w:val="24"/>
                <w:szCs w:val="24"/>
              </w:rPr>
              <w:t xml:space="preserve">14 - 21 in </w:t>
            </w:r>
            <w:proofErr w:type="spellStart"/>
            <w:r w:rsidRPr="00157EB2">
              <w:rPr>
                <w:rFonts w:cs="Times New Roman"/>
                <w:sz w:val="24"/>
                <w:szCs w:val="24"/>
              </w:rPr>
              <w:t>Visvanathan</w:t>
            </w:r>
            <w:proofErr w:type="spellEnd"/>
            <w:r w:rsidRPr="00157EB2">
              <w:rPr>
                <w:rFonts w:cs="Times New Roman"/>
                <w:sz w:val="24"/>
                <w:szCs w:val="24"/>
              </w:rPr>
              <w:t xml:space="preserve">, </w:t>
            </w:r>
            <w:proofErr w:type="spellStart"/>
            <w:r w:rsidRPr="00157EB2">
              <w:rPr>
                <w:rFonts w:cs="Times New Roman"/>
                <w:sz w:val="24"/>
                <w:szCs w:val="24"/>
              </w:rPr>
              <w:t>Nalini</w:t>
            </w:r>
            <w:proofErr w:type="spellEnd"/>
            <w:r w:rsidRPr="00157EB2">
              <w:rPr>
                <w:rFonts w:cs="Times New Roman"/>
                <w:sz w:val="24"/>
                <w:szCs w:val="24"/>
              </w:rPr>
              <w:t xml:space="preserve"> et al. Eds. </w:t>
            </w:r>
            <w:r w:rsidRPr="00157EB2">
              <w:rPr>
                <w:rFonts w:cs="Times New Roman"/>
                <w:i/>
                <w:iCs/>
                <w:sz w:val="24"/>
                <w:szCs w:val="24"/>
              </w:rPr>
              <w:t>The Women, Gender and Development Reader.</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 xml:space="preserve">2nd Ed. Black Point, Nova Scotia: </w:t>
            </w:r>
            <w:proofErr w:type="spellStart"/>
            <w:r w:rsidRPr="00157EB2">
              <w:rPr>
                <w:rFonts w:cs="Times New Roman"/>
                <w:sz w:val="24"/>
                <w:szCs w:val="24"/>
              </w:rPr>
              <w:t>Fernwood</w:t>
            </w:r>
            <w:proofErr w:type="spellEnd"/>
            <w:r w:rsidRPr="00157EB2">
              <w:rPr>
                <w:rFonts w:cs="Times New Roman"/>
                <w:sz w:val="24"/>
                <w:szCs w:val="24"/>
              </w:rPr>
              <w:t>.</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McMichael, Philip. 2012. “Instituting the Development Project.” Pp. 26 – 54 in</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 xml:space="preserve">McMichael, Philip. </w:t>
            </w:r>
            <w:r w:rsidRPr="00157EB2">
              <w:rPr>
                <w:rFonts w:cs="Times New Roman"/>
                <w:i/>
                <w:iCs/>
                <w:sz w:val="24"/>
                <w:szCs w:val="24"/>
              </w:rPr>
              <w:t xml:space="preserve">Development and Social Change: A Global Perspective. </w:t>
            </w:r>
            <w:r w:rsidRPr="00157EB2">
              <w:rPr>
                <w:rFonts w:cs="Times New Roman"/>
                <w:sz w:val="24"/>
                <w:szCs w:val="24"/>
              </w:rPr>
              <w:t>Thousand</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Oaks, CA: Sage.</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Baden, Sally and Reeves Hazel. 2000. “Gender and Development: Concepts and</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 xml:space="preserve">Definitions.” Publications </w:t>
            </w:r>
            <w:r w:rsidRPr="00157EB2">
              <w:rPr>
                <w:rFonts w:cs="Times New Roman"/>
                <w:i/>
                <w:iCs/>
                <w:sz w:val="24"/>
                <w:szCs w:val="24"/>
              </w:rPr>
              <w:t>BRIDGE Development-Gender</w:t>
            </w:r>
            <w:r w:rsidRPr="00157EB2">
              <w:rPr>
                <w:rFonts w:cs="Times New Roman"/>
                <w:sz w:val="24"/>
                <w:szCs w:val="24"/>
              </w:rPr>
              <w:t>. Institute of Development</w:t>
            </w:r>
          </w:p>
          <w:p w:rsidR="00620E91" w:rsidRPr="00157EB2" w:rsidRDefault="00620E91" w:rsidP="00A45342">
            <w:pPr>
              <w:autoSpaceDE w:val="0"/>
              <w:autoSpaceDN w:val="0"/>
              <w:adjustRightInd w:val="0"/>
              <w:rPr>
                <w:rFonts w:cs="Times New Roman"/>
                <w:sz w:val="24"/>
                <w:szCs w:val="24"/>
              </w:rPr>
            </w:pPr>
            <w:r w:rsidRPr="00157EB2">
              <w:rPr>
                <w:rFonts w:cs="Times New Roman"/>
                <w:sz w:val="24"/>
                <w:szCs w:val="24"/>
              </w:rPr>
              <w:t>Studies. www.bridge.ids.ac.uk/reports/re55.pdf</w:t>
            </w:r>
          </w:p>
          <w:p w:rsidR="00620E91" w:rsidRPr="00157EB2" w:rsidRDefault="00620E91" w:rsidP="00A45342">
            <w:pPr>
              <w:rPr>
                <w:sz w:val="24"/>
                <w:szCs w:val="24"/>
              </w:rPr>
            </w:pPr>
          </w:p>
        </w:tc>
      </w:tr>
      <w:tr w:rsidR="00620E91" w:rsidRPr="00157EB2" w:rsidTr="00A45342">
        <w:tc>
          <w:tcPr>
            <w:tcW w:w="791" w:type="dxa"/>
          </w:tcPr>
          <w:p w:rsidR="00620E91" w:rsidRPr="00157EB2" w:rsidRDefault="00620E91" w:rsidP="00A45342">
            <w:pPr>
              <w:rPr>
                <w:b/>
                <w:sz w:val="24"/>
                <w:szCs w:val="24"/>
              </w:rPr>
            </w:pPr>
            <w:r w:rsidRPr="00157EB2">
              <w:rPr>
                <w:b/>
                <w:sz w:val="24"/>
                <w:szCs w:val="24"/>
              </w:rPr>
              <w:t>14</w:t>
            </w:r>
          </w:p>
        </w:tc>
        <w:tc>
          <w:tcPr>
            <w:tcW w:w="8785" w:type="dxa"/>
          </w:tcPr>
          <w:p w:rsidR="00620E91" w:rsidRPr="00157EB2" w:rsidRDefault="00620E91" w:rsidP="00A45342">
            <w:pPr>
              <w:rPr>
                <w:b/>
                <w:sz w:val="24"/>
                <w:szCs w:val="24"/>
                <w:u w:val="single"/>
              </w:rPr>
            </w:pPr>
            <w:r w:rsidRPr="00157EB2">
              <w:rPr>
                <w:b/>
                <w:sz w:val="24"/>
                <w:szCs w:val="24"/>
                <w:u w:val="single"/>
              </w:rPr>
              <w:t>Gender Analysis of Pakistan</w:t>
            </w:r>
          </w:p>
          <w:p w:rsidR="00620E91" w:rsidRPr="00157EB2" w:rsidRDefault="00620E91" w:rsidP="00A45342">
            <w:pPr>
              <w:rPr>
                <w:sz w:val="24"/>
                <w:szCs w:val="24"/>
              </w:rPr>
            </w:pPr>
          </w:p>
          <w:p w:rsidR="00620E91" w:rsidRPr="00157EB2" w:rsidRDefault="00620E91" w:rsidP="00A45342">
            <w:pPr>
              <w:autoSpaceDE w:val="0"/>
              <w:autoSpaceDN w:val="0"/>
              <w:adjustRightInd w:val="0"/>
              <w:rPr>
                <w:rFonts w:cs="Berkeley-BoldItalic"/>
                <w:b/>
                <w:bCs/>
                <w:iCs/>
                <w:sz w:val="24"/>
                <w:szCs w:val="24"/>
              </w:rPr>
            </w:pPr>
            <w:r w:rsidRPr="00157EB2">
              <w:rPr>
                <w:rFonts w:cs="Berkeley-BoldItalic"/>
                <w:b/>
                <w:bCs/>
                <w:iCs/>
                <w:sz w:val="24"/>
                <w:szCs w:val="24"/>
              </w:rPr>
              <w:t>Required Reading:</w:t>
            </w:r>
          </w:p>
          <w:p w:rsidR="00620E91" w:rsidRPr="00157EB2" w:rsidRDefault="00620E91" w:rsidP="00A45342">
            <w:pPr>
              <w:rPr>
                <w:rFonts w:eastAsia="Times New Roman" w:cs="Times New Roman"/>
                <w:sz w:val="24"/>
                <w:szCs w:val="24"/>
              </w:rPr>
            </w:pPr>
            <w:r w:rsidRPr="00157EB2">
              <w:rPr>
                <w:rFonts w:eastAsia="Times New Roman" w:cs="Times New Roman"/>
                <w:sz w:val="24"/>
                <w:szCs w:val="24"/>
              </w:rPr>
              <w:lastRenderedPageBreak/>
              <w:t xml:space="preserve">Hamid, A., &amp; Ahmed, A. M. (2011). An Analysis of Multi-dimensional Gender Inequality in Pakistan. </w:t>
            </w:r>
            <w:r w:rsidRPr="00157EB2">
              <w:rPr>
                <w:rFonts w:eastAsia="Times New Roman" w:cs="Times New Roman"/>
                <w:i/>
                <w:iCs/>
                <w:sz w:val="24"/>
                <w:szCs w:val="24"/>
              </w:rPr>
              <w:t>Asian Journal of Business Management</w:t>
            </w:r>
            <w:r w:rsidRPr="00157EB2">
              <w:rPr>
                <w:rFonts w:eastAsia="Times New Roman" w:cs="Times New Roman"/>
                <w:sz w:val="24"/>
                <w:szCs w:val="24"/>
              </w:rPr>
              <w:t xml:space="preserve">, </w:t>
            </w:r>
            <w:r w:rsidRPr="00157EB2">
              <w:rPr>
                <w:rFonts w:eastAsia="Times New Roman" w:cs="Times New Roman"/>
                <w:i/>
                <w:iCs/>
                <w:sz w:val="24"/>
                <w:szCs w:val="24"/>
              </w:rPr>
              <w:t>3</w:t>
            </w:r>
            <w:r w:rsidRPr="00157EB2">
              <w:rPr>
                <w:rFonts w:eastAsia="Times New Roman" w:cs="Times New Roman"/>
                <w:sz w:val="24"/>
                <w:szCs w:val="24"/>
              </w:rPr>
              <w:t>(3), 166-177.</w:t>
            </w:r>
          </w:p>
          <w:p w:rsidR="00620E91" w:rsidRPr="00157EB2" w:rsidRDefault="00620E91" w:rsidP="00A45342">
            <w:pPr>
              <w:rPr>
                <w:rFonts w:eastAsia="Times New Roman" w:cs="Times New Roman"/>
                <w:sz w:val="24"/>
                <w:szCs w:val="24"/>
              </w:rPr>
            </w:pPr>
            <w:hyperlink r:id="rId6" w:history="1">
              <w:r w:rsidRPr="00157EB2">
                <w:rPr>
                  <w:rStyle w:val="Hyperlink"/>
                  <w:rFonts w:eastAsia="Times New Roman" w:cs="Times New Roman"/>
                  <w:sz w:val="24"/>
                  <w:szCs w:val="24"/>
                </w:rPr>
                <w:t>http://maxwellsci.com/print/ajbm/v3-166-177.pdf</w:t>
              </w:r>
            </w:hyperlink>
          </w:p>
          <w:p w:rsidR="00620E91" w:rsidRPr="00157EB2" w:rsidRDefault="00620E91" w:rsidP="00A45342">
            <w:pPr>
              <w:rPr>
                <w:rFonts w:eastAsia="Times New Roman" w:cs="Times New Roman"/>
                <w:sz w:val="24"/>
                <w:szCs w:val="24"/>
              </w:rPr>
            </w:pPr>
          </w:p>
        </w:tc>
      </w:tr>
      <w:tr w:rsidR="00620E91" w:rsidRPr="00157EB2" w:rsidTr="00A45342">
        <w:tc>
          <w:tcPr>
            <w:tcW w:w="791" w:type="dxa"/>
            <w:shd w:val="pct10" w:color="auto" w:fill="auto"/>
          </w:tcPr>
          <w:p w:rsidR="00620E91" w:rsidRPr="00157EB2" w:rsidRDefault="00620E91" w:rsidP="00A45342">
            <w:pPr>
              <w:rPr>
                <w:b/>
                <w:sz w:val="24"/>
                <w:szCs w:val="24"/>
              </w:rPr>
            </w:pPr>
            <w:r w:rsidRPr="00157EB2">
              <w:rPr>
                <w:b/>
                <w:sz w:val="24"/>
                <w:szCs w:val="24"/>
              </w:rPr>
              <w:lastRenderedPageBreak/>
              <w:t>15</w:t>
            </w:r>
          </w:p>
        </w:tc>
        <w:tc>
          <w:tcPr>
            <w:tcW w:w="8785" w:type="dxa"/>
            <w:shd w:val="pct10" w:color="auto" w:fill="auto"/>
          </w:tcPr>
          <w:p w:rsidR="00620E91" w:rsidRPr="00157EB2" w:rsidRDefault="00620E91" w:rsidP="00A45342">
            <w:pPr>
              <w:jc w:val="center"/>
              <w:rPr>
                <w:b/>
                <w:sz w:val="24"/>
                <w:szCs w:val="24"/>
              </w:rPr>
            </w:pPr>
            <w:r w:rsidRPr="00157EB2">
              <w:rPr>
                <w:b/>
                <w:sz w:val="24"/>
                <w:szCs w:val="24"/>
              </w:rPr>
              <w:t>Final Term</w:t>
            </w:r>
          </w:p>
          <w:p w:rsidR="00620E91" w:rsidRPr="00157EB2" w:rsidRDefault="00620E91" w:rsidP="00A45342">
            <w:pPr>
              <w:jc w:val="center"/>
              <w:rPr>
                <w:b/>
                <w:sz w:val="24"/>
                <w:szCs w:val="24"/>
              </w:rPr>
            </w:pPr>
          </w:p>
        </w:tc>
      </w:tr>
    </w:tbl>
    <w:p w:rsidR="00B77096" w:rsidRDefault="00B77096">
      <w:bookmarkStart w:id="4" w:name="_GoBack"/>
      <w:bookmarkEnd w:id="4"/>
    </w:p>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erkeley-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71B8"/>
    <w:multiLevelType w:val="singleLevel"/>
    <w:tmpl w:val="F5A45256"/>
    <w:lvl w:ilvl="0">
      <w:start w:val="1"/>
      <w:numFmt w:val="decimal"/>
      <w:lvlText w:val="%1"/>
      <w:legacy w:legacy="1" w:legacySpace="0" w:legacyIndent="360"/>
      <w:lvlJc w:val="left"/>
      <w:rPr>
        <w:rFonts w:ascii="Arial" w:hAnsi="Arial" w:cs="Times New Roman" w:hint="default"/>
      </w:rPr>
    </w:lvl>
  </w:abstractNum>
  <w:abstractNum w:abstractNumId="1">
    <w:nsid w:val="51753050"/>
    <w:multiLevelType w:val="singleLevel"/>
    <w:tmpl w:val="A9DE2374"/>
    <w:lvl w:ilvl="0">
      <w:start w:val="1"/>
      <w:numFmt w:val="decimal"/>
      <w:lvlText w:val="%1"/>
      <w:legacy w:legacy="1" w:legacySpace="0" w:legacyIndent="360"/>
      <w:lvlJc w:val="left"/>
      <w:rPr>
        <w:rFonts w:asciiTheme="minorHAnsi" w:hAnsiTheme="minorHAnsi"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91"/>
    <w:rsid w:val="00620E91"/>
    <w:rsid w:val="00B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371DF-28AE-42F0-B56B-603D06BA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91"/>
    <w:pPr>
      <w:spacing w:after="200" w:line="276" w:lineRule="auto"/>
    </w:pPr>
    <w:rPr>
      <w:rFonts w:eastAsiaTheme="minorEastAsia"/>
    </w:rPr>
  </w:style>
  <w:style w:type="paragraph" w:styleId="Heading1">
    <w:name w:val="heading 1"/>
    <w:basedOn w:val="Normal"/>
    <w:next w:val="Normal"/>
    <w:link w:val="Heading1Char"/>
    <w:uiPriority w:val="9"/>
    <w:qFormat/>
    <w:rsid w:val="00620E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9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20E91"/>
    <w:pPr>
      <w:ind w:left="720"/>
      <w:contextualSpacing/>
    </w:pPr>
    <w:rPr>
      <w:rFonts w:eastAsiaTheme="minorHAnsi"/>
    </w:rPr>
  </w:style>
  <w:style w:type="table" w:styleId="TableGrid">
    <w:name w:val="Table Grid"/>
    <w:basedOn w:val="TableNormal"/>
    <w:uiPriority w:val="59"/>
    <w:rsid w:val="00620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620E91"/>
    <w:rPr>
      <w:color w:val="0000FF"/>
      <w:u w:val="single"/>
    </w:rPr>
  </w:style>
  <w:style w:type="paragraph" w:customStyle="1" w:styleId="Default">
    <w:name w:val="Default"/>
    <w:rsid w:val="00620E9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xwellsci.com/print/ajbm/v3-166-177.pdf" TargetMode="External"/><Relationship Id="rId5" Type="http://schemas.openxmlformats.org/officeDocument/2006/relationships/hyperlink" Target="http://iss.sagepub.com/content/18/3/443.sh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2022-03-31T11:01:00Z</dcterms:created>
  <dcterms:modified xsi:type="dcterms:W3CDTF">2022-03-31T11:01:00Z</dcterms:modified>
</cp:coreProperties>
</file>